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4162A406">
        <w:trPr>
          <w:tblHeader/>
        </w:trPr>
        <w:tc>
          <w:tcPr>
            <w:tcW w:w="3394"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5"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4162A406">
        <w:tc>
          <w:tcPr>
            <w:tcW w:w="3394"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5" w:type="dxa"/>
            <w:tcBorders>
              <w:top w:val="single" w:sz="18" w:space="0" w:color="auto"/>
            </w:tcBorders>
          </w:tcPr>
          <w:p w14:paraId="72FCD075" w14:textId="321D2564" w:rsidR="00333FAA" w:rsidRPr="005E3A10" w:rsidRDefault="00240760" w:rsidP="00A53B04">
            <w:pPr>
              <w:rPr>
                <w:rFonts w:cs="Arial"/>
                <w:szCs w:val="24"/>
              </w:rPr>
            </w:pPr>
            <w:r>
              <w:rPr>
                <w:rFonts w:cs="Arial"/>
                <w:szCs w:val="24"/>
              </w:rPr>
              <w:t xml:space="preserve">19 </w:t>
            </w:r>
            <w:r w:rsidR="00F8201F">
              <w:rPr>
                <w:rFonts w:cs="Arial"/>
                <w:szCs w:val="24"/>
              </w:rPr>
              <w:t>December</w:t>
            </w:r>
            <w:r w:rsidR="00EB2BC9">
              <w:rPr>
                <w:rFonts w:cs="Arial"/>
                <w:szCs w:val="24"/>
              </w:rPr>
              <w:t xml:space="preserve"> 2023</w:t>
            </w:r>
          </w:p>
        </w:tc>
      </w:tr>
      <w:tr w:rsidR="00333FAA" w14:paraId="3CC97725" w14:textId="77777777" w:rsidTr="4162A406">
        <w:tc>
          <w:tcPr>
            <w:tcW w:w="3394"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5" w:type="dxa"/>
          </w:tcPr>
          <w:p w14:paraId="6D8FB2C1" w14:textId="74BD99BF" w:rsidR="00333FAA" w:rsidRPr="005E3A10" w:rsidRDefault="00370F15" w:rsidP="00A53B04">
            <w:pPr>
              <w:rPr>
                <w:rFonts w:cs="Arial"/>
                <w:szCs w:val="24"/>
              </w:rPr>
            </w:pPr>
            <w:r>
              <w:rPr>
                <w:rFonts w:cs="Arial"/>
                <w:szCs w:val="24"/>
              </w:rPr>
              <w:t>Procurement of Education IT System</w:t>
            </w:r>
          </w:p>
        </w:tc>
      </w:tr>
      <w:tr w:rsidR="00333FAA" w14:paraId="32449166" w14:textId="77777777" w:rsidTr="4162A406">
        <w:tc>
          <w:tcPr>
            <w:tcW w:w="3394"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5" w:type="dxa"/>
          </w:tcPr>
          <w:p w14:paraId="3EADF2B3" w14:textId="7FCD4364" w:rsidR="00333FAA" w:rsidRPr="005E3A10" w:rsidRDefault="001C7E35" w:rsidP="4162A406">
            <w:pPr>
              <w:pStyle w:val="Infotext"/>
              <w:rPr>
                <w:rFonts w:cs="Arial"/>
              </w:rPr>
            </w:pPr>
            <w:r w:rsidRPr="4162A406">
              <w:rPr>
                <w:rFonts w:cs="Arial"/>
                <w:sz w:val="24"/>
                <w:szCs w:val="24"/>
              </w:rPr>
              <w:t xml:space="preserve">Yes </w:t>
            </w:r>
            <w:r w:rsidR="00B8485D" w:rsidRPr="4162A406">
              <w:rPr>
                <w:rFonts w:cs="Arial"/>
                <w:sz w:val="24"/>
                <w:szCs w:val="24"/>
              </w:rPr>
              <w:t xml:space="preserve">– </w:t>
            </w:r>
            <w:r w:rsidR="3FD526D7" w:rsidRPr="4162A406">
              <w:rPr>
                <w:rFonts w:cs="Arial"/>
                <w:sz w:val="24"/>
                <w:szCs w:val="24"/>
              </w:rPr>
              <w:t xml:space="preserve">Expenditure </w:t>
            </w:r>
            <w:r w:rsidR="00B8485D" w:rsidRPr="4162A406">
              <w:rPr>
                <w:rFonts w:cs="Arial"/>
                <w:sz w:val="24"/>
                <w:szCs w:val="24"/>
              </w:rPr>
              <w:t>over £500k</w:t>
            </w:r>
          </w:p>
        </w:tc>
      </w:tr>
      <w:tr w:rsidR="001C7E35" w14:paraId="79E96200" w14:textId="77777777" w:rsidTr="4162A406">
        <w:tc>
          <w:tcPr>
            <w:tcW w:w="3394"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5" w:type="dxa"/>
          </w:tcPr>
          <w:p w14:paraId="649EB528" w14:textId="6D622B32" w:rsidR="001C7E35" w:rsidRPr="005E3A10" w:rsidRDefault="00B8485D" w:rsidP="00D835CF">
            <w:pPr>
              <w:pStyle w:val="Infotext"/>
              <w:rPr>
                <w:rFonts w:cs="Arial"/>
                <w:sz w:val="24"/>
                <w:szCs w:val="24"/>
              </w:rPr>
            </w:pPr>
            <w:r>
              <w:rPr>
                <w:rFonts w:cs="Arial"/>
                <w:sz w:val="24"/>
                <w:szCs w:val="24"/>
              </w:rPr>
              <w:t>Patrick O’Dwyer</w:t>
            </w:r>
            <w:r w:rsidR="00B40941">
              <w:rPr>
                <w:rFonts w:cs="Arial"/>
                <w:sz w:val="24"/>
                <w:szCs w:val="24"/>
              </w:rPr>
              <w:t>, Director of Education</w:t>
            </w:r>
          </w:p>
          <w:p w14:paraId="3798BF23" w14:textId="77777777" w:rsidR="001C7E35" w:rsidRPr="005E3A10" w:rsidRDefault="001C7E35" w:rsidP="00D835CF">
            <w:pPr>
              <w:pStyle w:val="Infotext"/>
              <w:rPr>
                <w:rFonts w:cs="Arial"/>
                <w:sz w:val="24"/>
                <w:szCs w:val="24"/>
              </w:rPr>
            </w:pPr>
          </w:p>
        </w:tc>
      </w:tr>
      <w:tr w:rsidR="001C7E35" w14:paraId="3B6FD8B1" w14:textId="77777777" w:rsidTr="4162A406">
        <w:tc>
          <w:tcPr>
            <w:tcW w:w="3394"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5" w:type="dxa"/>
          </w:tcPr>
          <w:p w14:paraId="6DF739C5" w14:textId="510E5A49" w:rsidR="001C7E35" w:rsidRDefault="00D9695B" w:rsidP="00D835CF">
            <w:pPr>
              <w:pStyle w:val="Infotext"/>
              <w:rPr>
                <w:rFonts w:cs="Arial"/>
                <w:sz w:val="24"/>
                <w:szCs w:val="24"/>
              </w:rPr>
            </w:pPr>
            <w:r>
              <w:rPr>
                <w:rFonts w:cs="Arial"/>
                <w:sz w:val="24"/>
                <w:szCs w:val="24"/>
              </w:rPr>
              <w:t>Cllr Hitesh K</w:t>
            </w:r>
            <w:r w:rsidR="00916AA2">
              <w:rPr>
                <w:rFonts w:cs="Arial"/>
                <w:sz w:val="24"/>
                <w:szCs w:val="24"/>
              </w:rPr>
              <w:t>aria</w:t>
            </w:r>
            <w:r w:rsidR="00045901">
              <w:rPr>
                <w:rFonts w:cs="Arial"/>
                <w:sz w:val="24"/>
                <w:szCs w:val="24"/>
              </w:rPr>
              <w:t xml:space="preserve"> – P</w:t>
            </w:r>
            <w:r w:rsidR="00240760">
              <w:rPr>
                <w:rFonts w:cs="Arial"/>
                <w:sz w:val="24"/>
                <w:szCs w:val="24"/>
              </w:rPr>
              <w:t xml:space="preserve">ortfolio Holder </w:t>
            </w:r>
            <w:r w:rsidR="00045901">
              <w:rPr>
                <w:rFonts w:cs="Arial"/>
                <w:sz w:val="24"/>
                <w:szCs w:val="24"/>
              </w:rPr>
              <w:t>for</w:t>
            </w:r>
            <w:r w:rsidR="00916AA2">
              <w:rPr>
                <w:rFonts w:cs="Arial"/>
                <w:sz w:val="24"/>
                <w:szCs w:val="24"/>
              </w:rPr>
              <w:t xml:space="preserve"> Children’s Services</w:t>
            </w:r>
            <w:r w:rsidR="00045901">
              <w:rPr>
                <w:rFonts w:cs="Arial"/>
                <w:sz w:val="24"/>
                <w:szCs w:val="24"/>
              </w:rPr>
              <w:t xml:space="preserve"> </w:t>
            </w:r>
          </w:p>
          <w:p w14:paraId="0D01DB7D" w14:textId="77777777" w:rsidR="00240760" w:rsidRDefault="00240760" w:rsidP="00D835CF">
            <w:pPr>
              <w:pStyle w:val="Infotext"/>
              <w:rPr>
                <w:rFonts w:cs="Arial"/>
                <w:sz w:val="24"/>
                <w:szCs w:val="24"/>
              </w:rPr>
            </w:pPr>
          </w:p>
          <w:p w14:paraId="39A9A01A" w14:textId="42745016" w:rsidR="00D9695B" w:rsidRPr="005E3A10" w:rsidRDefault="00D9695B" w:rsidP="00D835CF">
            <w:pPr>
              <w:pStyle w:val="Infotext"/>
              <w:rPr>
                <w:rFonts w:cs="Arial"/>
                <w:color w:val="FF0000"/>
                <w:sz w:val="24"/>
                <w:szCs w:val="24"/>
              </w:rPr>
            </w:pPr>
            <w:r w:rsidRPr="00616184">
              <w:rPr>
                <w:rFonts w:cs="Arial"/>
                <w:sz w:val="24"/>
                <w:szCs w:val="24"/>
              </w:rPr>
              <w:t>Cllr Stephen Greek</w:t>
            </w:r>
            <w:r w:rsidR="00357694">
              <w:rPr>
                <w:rFonts w:cs="Arial"/>
                <w:sz w:val="24"/>
                <w:szCs w:val="24"/>
              </w:rPr>
              <w:t xml:space="preserve"> </w:t>
            </w:r>
            <w:r w:rsidR="00240760">
              <w:rPr>
                <w:rFonts w:cs="Arial"/>
                <w:sz w:val="24"/>
                <w:szCs w:val="24"/>
              </w:rPr>
              <w:t>–</w:t>
            </w:r>
            <w:r w:rsidR="00916AA2" w:rsidRPr="00616184">
              <w:rPr>
                <w:rFonts w:cs="Arial"/>
                <w:sz w:val="24"/>
                <w:szCs w:val="24"/>
              </w:rPr>
              <w:t xml:space="preserve"> P</w:t>
            </w:r>
            <w:r w:rsidR="00240760">
              <w:rPr>
                <w:rFonts w:cs="Arial"/>
                <w:sz w:val="24"/>
                <w:szCs w:val="24"/>
              </w:rPr>
              <w:t xml:space="preserve">ortfolio Holder </w:t>
            </w:r>
            <w:r w:rsidR="00916AA2" w:rsidRPr="00616184">
              <w:rPr>
                <w:rFonts w:cs="Arial"/>
                <w:sz w:val="24"/>
                <w:szCs w:val="24"/>
              </w:rPr>
              <w:t xml:space="preserve">for </w:t>
            </w:r>
            <w:r w:rsidR="008E2191" w:rsidRPr="00616184">
              <w:rPr>
                <w:rFonts w:cs="Arial"/>
                <w:sz w:val="24"/>
                <w:szCs w:val="24"/>
              </w:rPr>
              <w:t>Performance, Communications and</w:t>
            </w:r>
            <w:r w:rsidR="00F34A12">
              <w:rPr>
                <w:rFonts w:cs="Arial"/>
                <w:sz w:val="24"/>
                <w:szCs w:val="24"/>
              </w:rPr>
              <w:t xml:space="preserve"> </w:t>
            </w:r>
            <w:r w:rsidR="008E2191" w:rsidRPr="00616184">
              <w:rPr>
                <w:rFonts w:cs="Arial"/>
                <w:sz w:val="24"/>
                <w:szCs w:val="24"/>
              </w:rPr>
              <w:t>Customer Experience</w:t>
            </w:r>
          </w:p>
        </w:tc>
      </w:tr>
      <w:tr w:rsidR="00AC2FC2" w14:paraId="3CF618C8" w14:textId="77777777" w:rsidTr="4162A406">
        <w:tc>
          <w:tcPr>
            <w:tcW w:w="3394" w:type="dxa"/>
          </w:tcPr>
          <w:p w14:paraId="6AD13A5A" w14:textId="77777777" w:rsidR="00AC2FC2" w:rsidRDefault="00AC2FC2" w:rsidP="00AC2FC2">
            <w:pPr>
              <w:pStyle w:val="Infotext"/>
              <w:spacing w:after="240"/>
              <w:rPr>
                <w:rFonts w:ascii="Arial Black" w:hAnsi="Arial Black"/>
              </w:rPr>
            </w:pPr>
          </w:p>
          <w:p w14:paraId="4CD8D092" w14:textId="1795D9CD" w:rsidR="00AC2FC2" w:rsidRPr="00C13A5F" w:rsidRDefault="00AC2FC2" w:rsidP="00AC2FC2">
            <w:pPr>
              <w:pStyle w:val="Infotext"/>
              <w:spacing w:after="240"/>
              <w:rPr>
                <w:rFonts w:ascii="Arial Black" w:hAnsi="Arial Black"/>
              </w:rPr>
            </w:pPr>
            <w:r w:rsidRPr="00DB6C3D">
              <w:rPr>
                <w:rFonts w:ascii="Arial Black" w:hAnsi="Arial Black"/>
              </w:rPr>
              <w:t>Exempt:</w:t>
            </w:r>
          </w:p>
        </w:tc>
        <w:tc>
          <w:tcPr>
            <w:tcW w:w="4915" w:type="dxa"/>
          </w:tcPr>
          <w:p w14:paraId="7D2C8C6F" w14:textId="77777777" w:rsidR="00AC2FC2" w:rsidRDefault="00AC2FC2" w:rsidP="00AC2FC2">
            <w:pPr>
              <w:pStyle w:val="Infotext"/>
              <w:rPr>
                <w:rFonts w:cs="Arial"/>
                <w:sz w:val="24"/>
                <w:szCs w:val="24"/>
              </w:rPr>
            </w:pPr>
          </w:p>
          <w:p w14:paraId="7B71C556" w14:textId="77777777" w:rsidR="00AC2FC2" w:rsidRDefault="00AC2FC2" w:rsidP="00AC2FC2">
            <w:pPr>
              <w:pStyle w:val="Infotext"/>
              <w:rPr>
                <w:rFonts w:cs="Arial"/>
                <w:sz w:val="24"/>
                <w:szCs w:val="24"/>
              </w:rPr>
            </w:pPr>
          </w:p>
          <w:p w14:paraId="538FC401" w14:textId="5D210D1F" w:rsidR="00AC2FC2" w:rsidRPr="005E3A10" w:rsidRDefault="00AC2FC2" w:rsidP="00AC2FC2">
            <w:pPr>
              <w:pStyle w:val="Infotext"/>
              <w:rPr>
                <w:rFonts w:cs="Arial"/>
                <w:color w:val="FF0000"/>
                <w:sz w:val="24"/>
                <w:szCs w:val="24"/>
              </w:rPr>
            </w:pPr>
            <w:r>
              <w:rPr>
                <w:rFonts w:cs="Arial"/>
                <w:sz w:val="24"/>
                <w:szCs w:val="24"/>
              </w:rPr>
              <w:t xml:space="preserve">No – </w:t>
            </w:r>
            <w:r w:rsidR="00240760">
              <w:rPr>
                <w:rFonts w:cs="Arial"/>
                <w:sz w:val="24"/>
                <w:szCs w:val="24"/>
              </w:rPr>
              <w:t>except appendix B</w:t>
            </w:r>
            <w:r>
              <w:rPr>
                <w:rFonts w:cs="Arial"/>
                <w:sz w:val="24"/>
                <w:szCs w:val="24"/>
              </w:rPr>
              <w:t xml:space="preserve"> is exempt by virtue of paragraph 3 of part 1 of schedule 12 </w:t>
            </w:r>
            <w:proofErr w:type="spellStart"/>
            <w:r>
              <w:rPr>
                <w:rFonts w:cs="Arial"/>
                <w:sz w:val="24"/>
                <w:szCs w:val="24"/>
              </w:rPr>
              <w:t>a</w:t>
            </w:r>
            <w:proofErr w:type="spellEnd"/>
            <w:r>
              <w:rPr>
                <w:rFonts w:cs="Arial"/>
                <w:sz w:val="24"/>
                <w:szCs w:val="24"/>
              </w:rPr>
              <w:t xml:space="preserve"> of the Local Government Act 1972 as amended in that it contains financial information of a commercially sensitive nature.</w:t>
            </w:r>
          </w:p>
          <w:p w14:paraId="755E47D1" w14:textId="77777777" w:rsidR="00AC2FC2" w:rsidRPr="005E3A10" w:rsidRDefault="00AC2FC2" w:rsidP="00AC2FC2">
            <w:pPr>
              <w:pStyle w:val="Infotext"/>
              <w:rPr>
                <w:rFonts w:cs="Arial"/>
                <w:color w:val="FF0000"/>
                <w:sz w:val="24"/>
                <w:szCs w:val="24"/>
              </w:rPr>
            </w:pPr>
          </w:p>
        </w:tc>
      </w:tr>
      <w:tr w:rsidR="00AC2FC2" w14:paraId="577CD75A" w14:textId="77777777" w:rsidTr="4162A406">
        <w:tc>
          <w:tcPr>
            <w:tcW w:w="3394" w:type="dxa"/>
          </w:tcPr>
          <w:p w14:paraId="4821943C" w14:textId="77777777" w:rsidR="00AC2FC2" w:rsidRPr="00C13A5F" w:rsidRDefault="00AC2FC2" w:rsidP="00AC2FC2">
            <w:pPr>
              <w:pStyle w:val="Infotext"/>
              <w:spacing w:after="240"/>
              <w:rPr>
                <w:rFonts w:ascii="Arial Black" w:hAnsi="Arial Black"/>
              </w:rPr>
            </w:pPr>
            <w:r w:rsidRPr="00DB6C3D">
              <w:rPr>
                <w:rFonts w:ascii="Arial Black" w:hAnsi="Arial Black"/>
              </w:rPr>
              <w:t>Decision subject to Call-in:</w:t>
            </w:r>
          </w:p>
        </w:tc>
        <w:tc>
          <w:tcPr>
            <w:tcW w:w="4915" w:type="dxa"/>
          </w:tcPr>
          <w:p w14:paraId="5274BCEB" w14:textId="77777777" w:rsidR="00240448" w:rsidRDefault="00240448" w:rsidP="00AC2FC2">
            <w:pPr>
              <w:pStyle w:val="Infotext"/>
              <w:rPr>
                <w:rFonts w:cs="Arial"/>
                <w:sz w:val="24"/>
                <w:szCs w:val="24"/>
              </w:rPr>
            </w:pPr>
          </w:p>
          <w:p w14:paraId="3A75E271" w14:textId="74393A0B" w:rsidR="00AC2FC2" w:rsidRPr="005E3A10" w:rsidRDefault="00AC2FC2" w:rsidP="00AC2FC2">
            <w:pPr>
              <w:pStyle w:val="Infotext"/>
              <w:rPr>
                <w:rFonts w:cs="Arial"/>
                <w:szCs w:val="24"/>
              </w:rPr>
            </w:pPr>
            <w:r w:rsidRPr="005E3A10">
              <w:rPr>
                <w:rFonts w:cs="Arial"/>
                <w:sz w:val="24"/>
                <w:szCs w:val="24"/>
              </w:rPr>
              <w:t>Yes</w:t>
            </w:r>
          </w:p>
        </w:tc>
      </w:tr>
      <w:tr w:rsidR="00AC2FC2" w14:paraId="7E5497E1" w14:textId="77777777" w:rsidTr="4162A406">
        <w:tc>
          <w:tcPr>
            <w:tcW w:w="3394" w:type="dxa"/>
          </w:tcPr>
          <w:p w14:paraId="6B5E6A6A" w14:textId="77777777" w:rsidR="00AC2FC2" w:rsidRPr="00C13A5F" w:rsidRDefault="00AC2FC2" w:rsidP="00AC2FC2">
            <w:pPr>
              <w:pStyle w:val="Infotext"/>
              <w:spacing w:after="240"/>
              <w:rPr>
                <w:rFonts w:ascii="Arial Black" w:hAnsi="Arial Black" w:cs="Arial"/>
              </w:rPr>
            </w:pPr>
            <w:r>
              <w:rPr>
                <w:rFonts w:ascii="Arial Black" w:hAnsi="Arial Black" w:cs="Arial"/>
              </w:rPr>
              <w:t>Wards affected:</w:t>
            </w:r>
          </w:p>
        </w:tc>
        <w:tc>
          <w:tcPr>
            <w:tcW w:w="4915" w:type="dxa"/>
          </w:tcPr>
          <w:p w14:paraId="52E38AE7" w14:textId="00EDEDEA" w:rsidR="00AC2FC2" w:rsidRPr="00307F76" w:rsidRDefault="00AC2FC2" w:rsidP="00AC2FC2">
            <w:pPr>
              <w:rPr>
                <w:rFonts w:cs="Arial"/>
                <w:b/>
                <w:color w:val="FF0000"/>
                <w:szCs w:val="24"/>
              </w:rPr>
            </w:pPr>
            <w:r>
              <w:rPr>
                <w:rFonts w:cs="Arial"/>
                <w:szCs w:val="24"/>
              </w:rPr>
              <w:t>All wards</w:t>
            </w:r>
          </w:p>
        </w:tc>
      </w:tr>
      <w:tr w:rsidR="00AC2FC2" w14:paraId="5F1445BF" w14:textId="77777777" w:rsidTr="4162A406">
        <w:tc>
          <w:tcPr>
            <w:tcW w:w="3394" w:type="dxa"/>
          </w:tcPr>
          <w:p w14:paraId="0E539C63" w14:textId="77777777" w:rsidR="00AC2FC2" w:rsidRPr="00C13A5F" w:rsidRDefault="00AC2FC2" w:rsidP="00AC2FC2">
            <w:pPr>
              <w:pStyle w:val="Infotext"/>
              <w:spacing w:after="240"/>
              <w:rPr>
                <w:rFonts w:ascii="Arial Black" w:hAnsi="Arial Black" w:cs="Arial"/>
              </w:rPr>
            </w:pPr>
            <w:r w:rsidRPr="00C13A5F">
              <w:rPr>
                <w:rFonts w:ascii="Arial Black" w:hAnsi="Arial Black" w:cs="Arial"/>
              </w:rPr>
              <w:t>Enclosures:</w:t>
            </w:r>
          </w:p>
        </w:tc>
        <w:tc>
          <w:tcPr>
            <w:tcW w:w="4915" w:type="dxa"/>
          </w:tcPr>
          <w:p w14:paraId="41456B18" w14:textId="42407F76" w:rsidR="00AC2FC2" w:rsidRPr="00943EE2" w:rsidRDefault="00240760" w:rsidP="00AC2FC2">
            <w:pPr>
              <w:pStyle w:val="Infotext"/>
              <w:rPr>
                <w:rFonts w:cs="Arial"/>
                <w:sz w:val="24"/>
                <w:szCs w:val="24"/>
              </w:rPr>
            </w:pPr>
            <w:r>
              <w:rPr>
                <w:rFonts w:cs="Arial"/>
                <w:sz w:val="24"/>
                <w:szCs w:val="24"/>
              </w:rPr>
              <w:t xml:space="preserve">Appendix A : </w:t>
            </w:r>
            <w:r w:rsidR="00943EE2" w:rsidRPr="00943EE2">
              <w:rPr>
                <w:rFonts w:cs="Arial"/>
                <w:sz w:val="24"/>
                <w:szCs w:val="24"/>
              </w:rPr>
              <w:t>Business Case – Procurement of Education System</w:t>
            </w:r>
          </w:p>
          <w:p w14:paraId="5F1E4436" w14:textId="77777777" w:rsidR="00240760" w:rsidRDefault="00240760" w:rsidP="00AC2FC2">
            <w:pPr>
              <w:pStyle w:val="Infotext"/>
              <w:rPr>
                <w:sz w:val="24"/>
                <w:szCs w:val="24"/>
              </w:rPr>
            </w:pPr>
          </w:p>
          <w:p w14:paraId="6668D730" w14:textId="6D3BF9E1" w:rsidR="00943EE2" w:rsidRPr="00943EE2" w:rsidRDefault="00240760" w:rsidP="00AC2FC2">
            <w:pPr>
              <w:pStyle w:val="Infotext"/>
              <w:rPr>
                <w:sz w:val="24"/>
                <w:szCs w:val="24"/>
              </w:rPr>
            </w:pPr>
            <w:r>
              <w:rPr>
                <w:sz w:val="24"/>
                <w:szCs w:val="24"/>
              </w:rPr>
              <w:t>Appendix B:</w:t>
            </w:r>
            <w:r w:rsidR="00943EE2" w:rsidRPr="00943EE2">
              <w:rPr>
                <w:sz w:val="24"/>
                <w:szCs w:val="24"/>
              </w:rPr>
              <w:t xml:space="preserve"> Financial Information (Exempt)</w:t>
            </w:r>
          </w:p>
        </w:tc>
      </w:tr>
    </w:tbl>
    <w:p w14:paraId="27C48D26" w14:textId="77777777" w:rsidR="00333FAA" w:rsidRDefault="00333FAA" w:rsidP="00C869F3">
      <w:pPr>
        <w:spacing w:after="480"/>
        <w:rPr>
          <w:rFonts w:cs="Arial"/>
        </w:rPr>
      </w:pPr>
    </w:p>
    <w:p w14:paraId="2998973A" w14:textId="79E318F7" w:rsidR="4162A406" w:rsidRDefault="4162A406" w:rsidP="4162A406">
      <w:pPr>
        <w:spacing w:after="480"/>
        <w:rPr>
          <w:rFonts w:cs="Arial"/>
        </w:rPr>
      </w:pPr>
    </w:p>
    <w:p w14:paraId="7C5D8C93" w14:textId="21DE7B8D" w:rsidR="4162A406" w:rsidRDefault="4162A406" w:rsidP="4162A406">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68B5958" w14:textId="16658D58" w:rsidR="000840AB" w:rsidRDefault="000840AB" w:rsidP="000840AB">
            <w:pPr>
              <w:rPr>
                <w:color w:val="0000FF"/>
              </w:rPr>
            </w:pPr>
            <w:r w:rsidRPr="004C15F9">
              <w:t xml:space="preserve">This report sets out options for the Education IT system </w:t>
            </w:r>
            <w:r w:rsidR="008725C5">
              <w:t>in the context that the current contract period ends on 31</w:t>
            </w:r>
            <w:r w:rsidR="008725C5" w:rsidRPr="008725C5">
              <w:rPr>
                <w:vertAlign w:val="superscript"/>
              </w:rPr>
              <w:t>st</w:t>
            </w:r>
            <w:r w:rsidR="008725C5">
              <w:t xml:space="preserve"> March 2024.</w:t>
            </w:r>
          </w:p>
          <w:p w14:paraId="53C8B24B" w14:textId="77777777" w:rsidR="003355BB" w:rsidRDefault="003355BB" w:rsidP="000840AB">
            <w:pPr>
              <w:pStyle w:val="Heading2"/>
              <w:rPr>
                <w:sz w:val="28"/>
                <w:szCs w:val="28"/>
              </w:rPr>
            </w:pPr>
          </w:p>
          <w:p w14:paraId="478031A3" w14:textId="08F00609" w:rsidR="000840AB" w:rsidRPr="00C310CA" w:rsidRDefault="000840AB" w:rsidP="000840AB">
            <w:pPr>
              <w:pStyle w:val="Heading2"/>
              <w:rPr>
                <w:sz w:val="28"/>
                <w:szCs w:val="28"/>
              </w:rPr>
            </w:pPr>
            <w:r w:rsidRPr="00C310CA">
              <w:rPr>
                <w:sz w:val="28"/>
                <w:szCs w:val="28"/>
              </w:rPr>
              <w:t xml:space="preserve">Recommendation: </w:t>
            </w:r>
          </w:p>
          <w:p w14:paraId="1BFD0D2A" w14:textId="339423E2" w:rsidR="000840AB" w:rsidRDefault="000840AB" w:rsidP="000840AB">
            <w:r>
              <w:t xml:space="preserve">That the </w:t>
            </w:r>
            <w:r w:rsidR="00C310CA">
              <w:t>Director of Education</w:t>
            </w:r>
            <w:r>
              <w:t>,</w:t>
            </w:r>
            <w:r w:rsidR="00C310CA">
              <w:t xml:space="preserve"> and the </w:t>
            </w:r>
            <w:r w:rsidR="00BE09F9">
              <w:t xml:space="preserve">Assistant </w:t>
            </w:r>
            <w:r w:rsidR="003A5709">
              <w:t>Director</w:t>
            </w:r>
            <w:r w:rsidR="007F3287">
              <w:t xml:space="preserve"> </w:t>
            </w:r>
            <w:r w:rsidR="003A5709">
              <w:t>of</w:t>
            </w:r>
            <w:r w:rsidR="00232249">
              <w:t xml:space="preserve"> Digital, Data and the Customer Experience</w:t>
            </w:r>
            <w:r w:rsidR="003A5709">
              <w:t>,</w:t>
            </w:r>
            <w:r>
              <w:t xml:space="preserve"> following consultation with the</w:t>
            </w:r>
            <w:r w:rsidR="00936CA0">
              <w:t xml:space="preserve"> </w:t>
            </w:r>
            <w:r w:rsidR="00936CA0">
              <w:rPr>
                <w:rFonts w:cs="Arial"/>
                <w:szCs w:val="24"/>
              </w:rPr>
              <w:t>P</w:t>
            </w:r>
            <w:r w:rsidR="007F3287">
              <w:rPr>
                <w:rFonts w:cs="Arial"/>
                <w:szCs w:val="24"/>
              </w:rPr>
              <w:t xml:space="preserve">ortfolio </w:t>
            </w:r>
            <w:r w:rsidR="00936CA0">
              <w:rPr>
                <w:rFonts w:cs="Arial"/>
                <w:szCs w:val="24"/>
              </w:rPr>
              <w:t>H</w:t>
            </w:r>
            <w:r w:rsidR="007F3287">
              <w:rPr>
                <w:rFonts w:cs="Arial"/>
                <w:szCs w:val="24"/>
              </w:rPr>
              <w:t>older</w:t>
            </w:r>
            <w:r w:rsidR="00936CA0">
              <w:rPr>
                <w:rFonts w:cs="Arial"/>
                <w:szCs w:val="24"/>
              </w:rPr>
              <w:t xml:space="preserve"> for Children’s Services and the </w:t>
            </w:r>
            <w:r w:rsidR="00936CA0" w:rsidRPr="00616184">
              <w:rPr>
                <w:rFonts w:cs="Arial"/>
                <w:szCs w:val="24"/>
              </w:rPr>
              <w:t>P</w:t>
            </w:r>
            <w:r w:rsidR="007F3287">
              <w:rPr>
                <w:rFonts w:cs="Arial"/>
                <w:szCs w:val="24"/>
              </w:rPr>
              <w:t xml:space="preserve">ortfolio </w:t>
            </w:r>
            <w:r w:rsidR="00936CA0" w:rsidRPr="00616184">
              <w:rPr>
                <w:rFonts w:cs="Arial"/>
                <w:szCs w:val="24"/>
              </w:rPr>
              <w:t>H</w:t>
            </w:r>
            <w:r w:rsidR="007F3287">
              <w:rPr>
                <w:rFonts w:cs="Arial"/>
                <w:szCs w:val="24"/>
              </w:rPr>
              <w:t>older</w:t>
            </w:r>
            <w:r w:rsidR="00936CA0" w:rsidRPr="00616184">
              <w:rPr>
                <w:rFonts w:cs="Arial"/>
                <w:szCs w:val="24"/>
              </w:rPr>
              <w:t xml:space="preserve"> for Performance, Communications and Customer Experience</w:t>
            </w:r>
            <w:r>
              <w:t>, be authorised to approve the award of a contract by way of direct award for 3 years</w:t>
            </w:r>
            <w:r w:rsidR="007E0758">
              <w:t xml:space="preserve"> for Capita One Education</w:t>
            </w:r>
            <w:r w:rsidR="001B34D7">
              <w:t xml:space="preserve"> Management</w:t>
            </w:r>
            <w:r w:rsidR="007B2C2B">
              <w:t xml:space="preserve"> IT system</w:t>
            </w:r>
            <w:r>
              <w:t xml:space="preserve">, with an option to extend for a further </w:t>
            </w:r>
            <w:r w:rsidR="003A5709">
              <w:t>2 years</w:t>
            </w:r>
            <w:r>
              <w:t>, via the Kent Commercial Services (KCS) Framework or other appropriate procurement route</w:t>
            </w:r>
            <w:r w:rsidR="00240760">
              <w:t>,</w:t>
            </w:r>
            <w:r w:rsidR="00D63397">
              <w:t xml:space="preserve"> </w:t>
            </w:r>
            <w:r w:rsidR="00240760">
              <w:t>t</w:t>
            </w:r>
            <w:r w:rsidR="00D63397">
              <w:t xml:space="preserve">he </w:t>
            </w:r>
            <w:r w:rsidR="0001545A">
              <w:t xml:space="preserve">total </w:t>
            </w:r>
            <w:r w:rsidR="00D63397">
              <w:t xml:space="preserve">value of the contract </w:t>
            </w:r>
            <w:r w:rsidR="003C4487">
              <w:t>is</w:t>
            </w:r>
            <w:r w:rsidR="00AF701E">
              <w:t xml:space="preserve"> £92</w:t>
            </w:r>
            <w:r w:rsidR="009423E7">
              <w:t>6</w:t>
            </w:r>
            <w:r w:rsidR="00AF701E">
              <w:t>,000</w:t>
            </w:r>
            <w:r w:rsidR="009A440A">
              <w:t>,</w:t>
            </w:r>
            <w:r w:rsidR="00254D52">
              <w:t xml:space="preserve"> including </w:t>
            </w:r>
            <w:r w:rsidR="00F34A12">
              <w:t>the optional extensions</w:t>
            </w:r>
            <w:r w:rsidR="00254D52">
              <w:t>.</w:t>
            </w:r>
          </w:p>
          <w:p w14:paraId="18BE9DE3" w14:textId="77777777" w:rsidR="0097421F" w:rsidRDefault="0097421F" w:rsidP="000840AB"/>
          <w:p w14:paraId="43F5EA2E" w14:textId="77777777" w:rsidR="000840AB" w:rsidRDefault="000840AB" w:rsidP="000840AB">
            <w:pPr>
              <w:pStyle w:val="Heading2"/>
              <w:rPr>
                <w:color w:val="FF0000"/>
              </w:rPr>
            </w:pPr>
            <w:r>
              <w:t>Reason:</w:t>
            </w:r>
            <w:r>
              <w:rPr>
                <w:color w:val="FF0000"/>
              </w:rPr>
              <w:t xml:space="preserve"> </w:t>
            </w:r>
          </w:p>
          <w:p w14:paraId="7E489DC0" w14:textId="2AA9167F" w:rsidR="00333FAA" w:rsidRDefault="007B2C2B" w:rsidP="007B2C2B">
            <w:pPr>
              <w:pStyle w:val="Heading2"/>
              <w:rPr>
                <w:rFonts w:ascii="Arial" w:hAnsi="Arial" w:cs="Times New Roman"/>
                <w:b w:val="0"/>
                <w:bCs w:val="0"/>
                <w:sz w:val="24"/>
                <w:szCs w:val="20"/>
              </w:rPr>
            </w:pPr>
            <w:r>
              <w:rPr>
                <w:rFonts w:ascii="Arial" w:hAnsi="Arial" w:cs="Times New Roman"/>
                <w:b w:val="0"/>
                <w:bCs w:val="0"/>
                <w:sz w:val="24"/>
                <w:szCs w:val="20"/>
              </w:rPr>
              <w:t>This recommendation provides</w:t>
            </w:r>
            <w:r w:rsidR="00650BE0">
              <w:rPr>
                <w:rFonts w:ascii="Arial" w:hAnsi="Arial" w:cs="Times New Roman"/>
                <w:b w:val="0"/>
                <w:bCs w:val="0"/>
                <w:sz w:val="24"/>
                <w:szCs w:val="20"/>
              </w:rPr>
              <w:t xml:space="preserve"> a comprehensive and integrated Education System that gives</w:t>
            </w:r>
            <w:r>
              <w:rPr>
                <w:rFonts w:ascii="Arial" w:hAnsi="Arial" w:cs="Times New Roman"/>
                <w:b w:val="0"/>
                <w:bCs w:val="0"/>
                <w:sz w:val="24"/>
                <w:szCs w:val="20"/>
              </w:rPr>
              <w:t xml:space="preserve"> the best value for money for the local authority</w:t>
            </w:r>
            <w:r w:rsidR="00EA0473">
              <w:rPr>
                <w:rFonts w:ascii="Arial" w:hAnsi="Arial" w:cs="Times New Roman"/>
                <w:b w:val="0"/>
                <w:bCs w:val="0"/>
                <w:sz w:val="24"/>
                <w:szCs w:val="20"/>
              </w:rPr>
              <w:t xml:space="preserve">. </w:t>
            </w:r>
            <w:r w:rsidR="008725C5">
              <w:rPr>
                <w:rFonts w:ascii="Arial" w:hAnsi="Arial" w:cs="Times New Roman"/>
                <w:b w:val="0"/>
                <w:bCs w:val="0"/>
                <w:sz w:val="24"/>
                <w:szCs w:val="20"/>
              </w:rPr>
              <w:t xml:space="preserve">  It also best meets the needs of </w:t>
            </w:r>
            <w:r w:rsidR="008B42BB">
              <w:rPr>
                <w:rFonts w:ascii="Arial" w:hAnsi="Arial" w:cs="Times New Roman"/>
                <w:b w:val="0"/>
                <w:bCs w:val="0"/>
                <w:sz w:val="24"/>
                <w:szCs w:val="20"/>
              </w:rPr>
              <w:t>the users of the Education IT system across Education Services and the People Directorate</w:t>
            </w:r>
            <w:r w:rsidR="00650BE0">
              <w:rPr>
                <w:rFonts w:ascii="Arial" w:hAnsi="Arial" w:cs="Times New Roman"/>
                <w:b w:val="0"/>
                <w:bCs w:val="0"/>
                <w:sz w:val="24"/>
                <w:szCs w:val="20"/>
              </w:rPr>
              <w:t xml:space="preserve"> over the next 3</w:t>
            </w:r>
            <w:r w:rsidR="00736879">
              <w:rPr>
                <w:rFonts w:ascii="Arial" w:hAnsi="Arial" w:cs="Times New Roman"/>
                <w:b w:val="0"/>
                <w:bCs w:val="0"/>
                <w:sz w:val="24"/>
                <w:szCs w:val="20"/>
              </w:rPr>
              <w:t xml:space="preserve"> to 5</w:t>
            </w:r>
            <w:r w:rsidR="00650BE0">
              <w:rPr>
                <w:rFonts w:ascii="Arial" w:hAnsi="Arial" w:cs="Times New Roman"/>
                <w:b w:val="0"/>
                <w:bCs w:val="0"/>
                <w:sz w:val="24"/>
                <w:szCs w:val="20"/>
              </w:rPr>
              <w:t xml:space="preserve"> years</w:t>
            </w:r>
            <w:r w:rsidR="008B42BB">
              <w:rPr>
                <w:rFonts w:ascii="Arial" w:hAnsi="Arial" w:cs="Times New Roman"/>
                <w:b w:val="0"/>
                <w:bCs w:val="0"/>
                <w:sz w:val="24"/>
                <w:szCs w:val="20"/>
              </w:rPr>
              <w:t>.</w:t>
            </w:r>
          </w:p>
          <w:p w14:paraId="33D0D650" w14:textId="6DBA7C2C" w:rsidR="00240760" w:rsidRDefault="00240760" w:rsidP="00240760"/>
          <w:p w14:paraId="263A9E45" w14:textId="0D2C3934" w:rsidR="00240760" w:rsidRPr="00240760" w:rsidRDefault="00240760" w:rsidP="00240760">
            <w:r>
              <w:t>The decisions to extend for years 4 and 5 are separate and will be based on system performance and market review.  The work to assess this will be carried out with sufficient time to allow for market testing, should that be deemed necessary.</w:t>
            </w:r>
          </w:p>
          <w:p w14:paraId="313BC81E" w14:textId="50419046" w:rsidR="008B42BB" w:rsidRPr="008B42BB" w:rsidRDefault="008B42BB" w:rsidP="008B42BB"/>
        </w:tc>
      </w:tr>
    </w:tbl>
    <w:p w14:paraId="0204F38A" w14:textId="77777777" w:rsidR="00333FAA" w:rsidRDefault="00333FAA" w:rsidP="00F06E4E">
      <w:pPr>
        <w:pStyle w:val="Heading2"/>
        <w:spacing w:before="480"/>
      </w:pPr>
      <w:r>
        <w:t>Section 2 – Report</w:t>
      </w:r>
    </w:p>
    <w:p w14:paraId="76168D48" w14:textId="5EB8AB88" w:rsidR="001C7E35" w:rsidRDefault="001C7E35" w:rsidP="00F06E4E">
      <w:pPr>
        <w:pStyle w:val="Heading3"/>
        <w:spacing w:before="240"/>
      </w:pPr>
      <w:r>
        <w:t>Introduct</w:t>
      </w:r>
      <w:r w:rsidR="00115CC3">
        <w:t>ion</w:t>
      </w:r>
    </w:p>
    <w:p w14:paraId="31848AA0" w14:textId="72EC876C" w:rsidR="00740D84" w:rsidRDefault="00392972" w:rsidP="001C7E35">
      <w:r>
        <w:t xml:space="preserve">The current contract with Capita </w:t>
      </w:r>
      <w:r w:rsidR="005A46E4">
        <w:t xml:space="preserve">Education Services (CES) </w:t>
      </w:r>
      <w:r>
        <w:t>for its One Education Management System</w:t>
      </w:r>
      <w:r w:rsidR="001B34D7">
        <w:t xml:space="preserve"> (One EMS)</w:t>
      </w:r>
      <w:r>
        <w:t xml:space="preserve">, </w:t>
      </w:r>
      <w:r w:rsidR="00F526F7">
        <w:t xml:space="preserve">runs to 31st March 2024.  This provides a set of integrated modules that </w:t>
      </w:r>
      <w:r w:rsidR="000D535B">
        <w:t>give</w:t>
      </w:r>
      <w:r w:rsidR="00780DC1">
        <w:t xml:space="preserve"> comprehensive coverage for the Council’s Education Services, including Admissions, S</w:t>
      </w:r>
      <w:r w:rsidR="00D65B5A">
        <w:t>pecial Educational Needs</w:t>
      </w:r>
      <w:r w:rsidR="00780DC1">
        <w:t xml:space="preserve">, Educational Psychology, Sensory Services and tracking of achievement, attendance and exclusions in Harrow schools.  In addition, as part of the same contract, </w:t>
      </w:r>
      <w:r w:rsidR="00EF01F5">
        <w:t>C</w:t>
      </w:r>
      <w:r w:rsidR="005A46E4">
        <w:t>ES</w:t>
      </w:r>
      <w:r w:rsidR="00EF01F5">
        <w:t xml:space="preserve"> provide an integrated Youth Offending System, and a stand</w:t>
      </w:r>
      <w:r w:rsidR="005D29D0">
        <w:t>-</w:t>
      </w:r>
      <w:r w:rsidR="00EF01F5">
        <w:t>alone hosted system for Children</w:t>
      </w:r>
      <w:r w:rsidR="00740D84">
        <w:t xml:space="preserve"> Centres/Family hubs.</w:t>
      </w:r>
    </w:p>
    <w:p w14:paraId="306E711A" w14:textId="77777777" w:rsidR="00C06CD0" w:rsidRDefault="00C06CD0" w:rsidP="001C7E35"/>
    <w:p w14:paraId="47B7195A" w14:textId="138C3012" w:rsidR="00C06CD0" w:rsidRDefault="00C06CD0" w:rsidP="001C7E35">
      <w:r>
        <w:t xml:space="preserve">Around 2 years ago, the team began due diligence work in examining </w:t>
      </w:r>
      <w:r w:rsidR="009B3A24">
        <w:t>options for post 202</w:t>
      </w:r>
      <w:r w:rsidR="00F25E6E">
        <w:t>3</w:t>
      </w:r>
      <w:r w:rsidR="009B3A24">
        <w:t xml:space="preserve">, which included liaison with other authorities using </w:t>
      </w:r>
      <w:r w:rsidR="005D29D0">
        <w:t xml:space="preserve">other </w:t>
      </w:r>
      <w:r w:rsidR="009B3A24">
        <w:t>Education systems</w:t>
      </w:r>
      <w:r w:rsidR="005D29D0">
        <w:t xml:space="preserve"> and seeking information from alternative suppliers</w:t>
      </w:r>
      <w:r w:rsidR="009B3A24">
        <w:t>.</w:t>
      </w:r>
    </w:p>
    <w:p w14:paraId="1F136AB3" w14:textId="77777777" w:rsidR="00740D84" w:rsidRDefault="00740D84" w:rsidP="001C7E35"/>
    <w:p w14:paraId="599D9E6D" w14:textId="7E877C4E" w:rsidR="00D60C5D" w:rsidRDefault="00906156" w:rsidP="00240760">
      <w:r>
        <w:t xml:space="preserve">During this work, it was </w:t>
      </w:r>
      <w:r w:rsidR="005D29D0">
        <w:t>found</w:t>
      </w:r>
      <w:r>
        <w:t xml:space="preserve"> that there is only one</w:t>
      </w:r>
      <w:r w:rsidR="00740D84">
        <w:t xml:space="preserve"> other supplier in the market that can offer </w:t>
      </w:r>
      <w:r w:rsidR="00C06CD0">
        <w:t>the same level of coverage an</w:t>
      </w:r>
      <w:r w:rsidR="009B3A24">
        <w:t>d</w:t>
      </w:r>
      <w:r w:rsidR="00C06CD0">
        <w:t xml:space="preserve"> integration</w:t>
      </w:r>
      <w:r w:rsidR="00721E9B">
        <w:t xml:space="preserve"> across Education Services</w:t>
      </w:r>
      <w:r w:rsidR="004B5A0C">
        <w:t xml:space="preserve">.  </w:t>
      </w:r>
      <w:r w:rsidR="00721E9B">
        <w:t>Informal discussion</w:t>
      </w:r>
      <w:r w:rsidR="005A46E4">
        <w:t>s</w:t>
      </w:r>
      <w:r w:rsidR="00721E9B">
        <w:t xml:space="preserve"> were held with this supplier to understand the service they could offer and both the estimated cost of change </w:t>
      </w:r>
      <w:r w:rsidR="00721E9B">
        <w:lastRenderedPageBreak/>
        <w:t xml:space="preserve">and </w:t>
      </w:r>
      <w:r w:rsidR="005A46E4">
        <w:t>the cost of</w:t>
      </w:r>
      <w:r w:rsidR="00721E9B">
        <w:t xml:space="preserve"> ongoing services.</w:t>
      </w:r>
      <w:r w:rsidR="005A46E4">
        <w:t xml:space="preserve">  The cost of change was also </w:t>
      </w:r>
      <w:r w:rsidR="00F767E9">
        <w:t>investigated with Harrow IT services and with other local authorities, leading to the estimates provided in the Business Case and Financial Annex.</w:t>
      </w:r>
    </w:p>
    <w:p w14:paraId="0A078380" w14:textId="7C0B53DF" w:rsidR="00AD1E77" w:rsidRDefault="001C7E35" w:rsidP="00A1211C">
      <w:pPr>
        <w:pStyle w:val="Heading3"/>
        <w:spacing w:before="240"/>
        <w:ind w:left="0" w:firstLine="0"/>
        <w:jc w:val="left"/>
      </w:pPr>
      <w:r>
        <w:t xml:space="preserve">Options considered  </w:t>
      </w:r>
    </w:p>
    <w:p w14:paraId="464693ED" w14:textId="77777777" w:rsidR="00DE34A2" w:rsidRDefault="00DE34A2" w:rsidP="00333FAA">
      <w:pPr>
        <w:rPr>
          <w:rFonts w:asciiTheme="minorHAnsi" w:eastAsia="Arial Unicode MS" w:hAnsiTheme="minorHAnsi" w:cs="Arial"/>
          <w:color w:val="000000" w:themeColor="text1"/>
          <w:w w:val="102"/>
          <w:sz w:val="20"/>
        </w:rPr>
      </w:pPr>
    </w:p>
    <w:p w14:paraId="6EA14D3E" w14:textId="2EB8A589" w:rsidR="00DE34A2" w:rsidRPr="00240760" w:rsidRDefault="00DE34A2" w:rsidP="00333FAA">
      <w:pPr>
        <w:rPr>
          <w:rFonts w:cs="Arial"/>
        </w:rPr>
      </w:pPr>
      <w:r w:rsidRPr="00EE7A5B">
        <w:rPr>
          <w:rFonts w:cs="Arial"/>
        </w:rPr>
        <w:t>Note that each of the options follows a review of the market which began in 2021 and involved research of alternative suppliers and experience of other local authorities in both change and day</w:t>
      </w:r>
      <w:r w:rsidR="00201C6C">
        <w:rPr>
          <w:rFonts w:cs="Arial"/>
        </w:rPr>
        <w:t>-</w:t>
      </w:r>
      <w:r w:rsidRPr="00EE7A5B">
        <w:rPr>
          <w:rFonts w:cs="Arial"/>
        </w:rPr>
        <w:t>to</w:t>
      </w:r>
      <w:r w:rsidR="00201C6C">
        <w:rPr>
          <w:rFonts w:cs="Arial"/>
        </w:rPr>
        <w:t>-</w:t>
      </w:r>
      <w:r w:rsidRPr="00EE7A5B">
        <w:rPr>
          <w:rFonts w:cs="Arial"/>
        </w:rPr>
        <w:t>day use</w:t>
      </w:r>
      <w:r w:rsidR="00201C6C">
        <w:rPr>
          <w:rFonts w:cs="Arial"/>
        </w:rPr>
        <w:t xml:space="preserve"> of different </w:t>
      </w:r>
      <w:r w:rsidR="009A440A">
        <w:rPr>
          <w:rFonts w:cs="Arial"/>
        </w:rPr>
        <w:t>Education</w:t>
      </w:r>
      <w:r w:rsidR="00201C6C">
        <w:rPr>
          <w:rFonts w:cs="Arial"/>
        </w:rPr>
        <w:t xml:space="preserve"> IT systems</w:t>
      </w:r>
      <w:r w:rsidRPr="00EE7A5B">
        <w:rPr>
          <w:rFonts w:cs="Arial"/>
        </w:rPr>
        <w:t>.  The ‘Do Nothing’ option in this case means not doing anything as a result of this work, until contract expiry necessitates action</w:t>
      </w:r>
      <w:r w:rsidR="00201C6C">
        <w:rPr>
          <w:rFonts w:cs="Arial"/>
        </w:rPr>
        <w:t>:</w:t>
      </w:r>
    </w:p>
    <w:p w14:paraId="5E0169D1" w14:textId="47850B18" w:rsidR="00D96ECD" w:rsidRDefault="00D96ECD" w:rsidP="00F47FFE">
      <w:pPr>
        <w:rPr>
          <w:szCs w:val="24"/>
        </w:rPr>
      </w:pPr>
    </w:p>
    <w:p w14:paraId="31E0F81E" w14:textId="48FAE543" w:rsidR="009A440A" w:rsidRPr="009A440A" w:rsidRDefault="009A440A" w:rsidP="009A440A">
      <w:pPr>
        <w:pStyle w:val="Header"/>
        <w:numPr>
          <w:ilvl w:val="0"/>
          <w:numId w:val="2"/>
        </w:numPr>
        <w:tabs>
          <w:tab w:val="clear" w:pos="4153"/>
          <w:tab w:val="clear" w:pos="8306"/>
        </w:tabs>
        <w:rPr>
          <w:rFonts w:asciiTheme="minorHAnsi" w:eastAsia="Arial Unicode MS" w:hAnsiTheme="minorHAnsi" w:cs="Arial"/>
          <w:color w:val="000000" w:themeColor="text1"/>
          <w:w w:val="102"/>
          <w:sz w:val="20"/>
        </w:rPr>
      </w:pPr>
      <w:r>
        <w:t xml:space="preserve">Do nothing - </w:t>
      </w:r>
      <w:r>
        <w:rPr>
          <w:rFonts w:cs="Arial"/>
        </w:rPr>
        <w:t>d</w:t>
      </w:r>
      <w:r w:rsidRPr="009A440A">
        <w:rPr>
          <w:rFonts w:cs="Arial"/>
        </w:rPr>
        <w:t xml:space="preserve">oes not meet service needs and would be likely to lead to a high cost, short-term extension. </w:t>
      </w:r>
    </w:p>
    <w:p w14:paraId="4EB7D534" w14:textId="77777777" w:rsidR="009A440A" w:rsidRPr="009A440A" w:rsidRDefault="009A440A" w:rsidP="009A440A">
      <w:pPr>
        <w:pStyle w:val="ListParagraph"/>
        <w:rPr>
          <w:rFonts w:cs="Arial"/>
          <w:szCs w:val="24"/>
        </w:rPr>
      </w:pPr>
    </w:p>
    <w:p w14:paraId="04AEF203" w14:textId="1FBDC83F" w:rsidR="00073595" w:rsidRPr="005730CA" w:rsidRDefault="76B0744C" w:rsidP="4162A406">
      <w:pPr>
        <w:pStyle w:val="ListParagraph"/>
        <w:numPr>
          <w:ilvl w:val="0"/>
          <w:numId w:val="2"/>
        </w:numPr>
        <w:rPr>
          <w:rFonts w:cs="Arial"/>
          <w:szCs w:val="24"/>
        </w:rPr>
      </w:pPr>
      <w:r>
        <w:t>Full market testing</w:t>
      </w:r>
      <w:r w:rsidR="5C305E78">
        <w:t>, with potential change of system</w:t>
      </w:r>
      <w:r w:rsidR="5CB6E87F">
        <w:t xml:space="preserve"> - </w:t>
      </w:r>
      <w:r w:rsidR="00ED13BC">
        <w:rPr>
          <w:rFonts w:cs="Arial"/>
        </w:rPr>
        <w:t>i</w:t>
      </w:r>
      <w:r w:rsidR="5CB6E87F" w:rsidRPr="4162A406">
        <w:rPr>
          <w:rFonts w:cs="Arial"/>
        </w:rPr>
        <w:t>f leading to system change, and a similar level of service with a lower annual cost, would include cost of change that would mean an estimated return on investment would not be achieved until around the 10</w:t>
      </w:r>
      <w:r w:rsidR="5CB6E87F" w:rsidRPr="4162A406">
        <w:rPr>
          <w:rFonts w:cs="Arial"/>
          <w:vertAlign w:val="superscript"/>
        </w:rPr>
        <w:t>th</w:t>
      </w:r>
      <w:r w:rsidR="5CB6E87F" w:rsidRPr="4162A406">
        <w:rPr>
          <w:rFonts w:cs="Arial"/>
        </w:rPr>
        <w:t xml:space="preserve"> year of the contract.  This is not a viable timeframe in relation to software</w:t>
      </w:r>
      <w:r w:rsidR="00ED13BC">
        <w:rPr>
          <w:rFonts w:cs="Arial"/>
        </w:rPr>
        <w:t>.</w:t>
      </w:r>
    </w:p>
    <w:p w14:paraId="331226E7" w14:textId="17FB2BC0" w:rsidR="00073595" w:rsidRPr="005730CA" w:rsidRDefault="00073595" w:rsidP="00F47FFE">
      <w:pPr>
        <w:rPr>
          <w:szCs w:val="24"/>
        </w:rPr>
      </w:pPr>
    </w:p>
    <w:p w14:paraId="4DB341F3" w14:textId="4628DE86" w:rsidR="004B5D78" w:rsidRPr="000D535B" w:rsidRDefault="2CE08277" w:rsidP="2B66904C">
      <w:pPr>
        <w:pStyle w:val="ListParagraph"/>
        <w:numPr>
          <w:ilvl w:val="0"/>
          <w:numId w:val="2"/>
        </w:numPr>
        <w:rPr>
          <w:rFonts w:cs="Arial"/>
        </w:rPr>
      </w:pPr>
      <w:r w:rsidRPr="00F47FFE">
        <w:t>Entering into a new contract with Capita</w:t>
      </w:r>
      <w:r w:rsidR="17B2A585">
        <w:t xml:space="preserve"> via a compliant framework agreement</w:t>
      </w:r>
      <w:r w:rsidR="7228FDD2">
        <w:t xml:space="preserve"> - </w:t>
      </w:r>
      <w:r w:rsidR="00ED13BC">
        <w:rPr>
          <w:rFonts w:cs="Arial"/>
        </w:rPr>
        <w:t>p</w:t>
      </w:r>
      <w:r w:rsidR="7228FDD2" w:rsidRPr="2B66904C">
        <w:rPr>
          <w:rFonts w:cs="Arial"/>
        </w:rPr>
        <w:t>rovides the best value for money over the period and lowest level of risk, while continuing to deliver a known set of modules in support of Harrow’s education and children services, with no cost of change or new integrations with local systems</w:t>
      </w:r>
      <w:r w:rsidR="00ED13BC">
        <w:rPr>
          <w:rFonts w:cs="Arial"/>
        </w:rPr>
        <w:t>.</w:t>
      </w:r>
    </w:p>
    <w:p w14:paraId="7D1AEC99" w14:textId="77777777" w:rsidR="007F6E04" w:rsidRDefault="007F6E04" w:rsidP="00333FAA">
      <w:pPr>
        <w:rPr>
          <w:rFonts w:cs="Arial"/>
          <w:szCs w:val="24"/>
        </w:rPr>
      </w:pPr>
    </w:p>
    <w:p w14:paraId="05940A92" w14:textId="2FA0F3C1" w:rsidR="00073595" w:rsidRPr="000D535B" w:rsidRDefault="10F76B50" w:rsidP="4162A406">
      <w:pPr>
        <w:rPr>
          <w:rFonts w:cs="Arial"/>
        </w:rPr>
      </w:pPr>
      <w:r w:rsidRPr="4162A406">
        <w:rPr>
          <w:rFonts w:cs="Arial"/>
        </w:rPr>
        <w:t xml:space="preserve">Option 3 is recommended and further details for each option are available within the attached </w:t>
      </w:r>
      <w:r w:rsidR="6EB1A07E" w:rsidRPr="4162A406">
        <w:rPr>
          <w:rFonts w:cs="Arial"/>
        </w:rPr>
        <w:t>Business Case</w:t>
      </w:r>
      <w:r w:rsidR="0D0477EA" w:rsidRPr="4162A406">
        <w:rPr>
          <w:rFonts w:cs="Arial"/>
        </w:rPr>
        <w:t>.</w:t>
      </w:r>
    </w:p>
    <w:p w14:paraId="79A95A49" w14:textId="77777777" w:rsidR="000D535B" w:rsidRPr="00F06E4E" w:rsidRDefault="000D535B" w:rsidP="00333FAA">
      <w:pPr>
        <w:rPr>
          <w:rFonts w:cs="Arial"/>
          <w:color w:val="0000FF"/>
          <w:sz w:val="28"/>
          <w:szCs w:val="28"/>
        </w:rPr>
      </w:pPr>
    </w:p>
    <w:p w14:paraId="0E637316" w14:textId="77777777" w:rsidR="00333FAA" w:rsidRPr="000776B9" w:rsidRDefault="00333FAA" w:rsidP="00333FAA">
      <w:pPr>
        <w:pStyle w:val="Heading2"/>
        <w:rPr>
          <w:rFonts w:ascii="Arial" w:hAnsi="Arial"/>
          <w:sz w:val="28"/>
          <w:szCs w:val="28"/>
        </w:rPr>
      </w:pPr>
      <w:r w:rsidRPr="000776B9">
        <w:rPr>
          <w:rFonts w:ascii="Arial" w:hAnsi="Arial"/>
          <w:sz w:val="28"/>
          <w:szCs w:val="28"/>
        </w:rPr>
        <w:t>Current situation</w:t>
      </w:r>
    </w:p>
    <w:p w14:paraId="676DB4BF" w14:textId="647DB30C" w:rsidR="000776B9" w:rsidRPr="00206D68" w:rsidRDefault="000776B9" w:rsidP="000776B9">
      <w:r>
        <w:t xml:space="preserve">The Education IT system is currently provided by Capita, fully hosted </w:t>
      </w:r>
      <w:r w:rsidR="007E601F">
        <w:t>as ‘Software as a Service’</w:t>
      </w:r>
      <w:r>
        <w:t xml:space="preserve"> and is used throughout Education Services.  It is also the main system for the Youth Offending Team and used as a secondary system throughout other areas of Children Services.</w:t>
      </w:r>
      <w:r w:rsidR="00D96ECD">
        <w:t xml:space="preserve">  The contract also covers e-Start, a stand-alone registration system for Children’s Centres/Family Hubs</w:t>
      </w:r>
    </w:p>
    <w:p w14:paraId="1842CA71" w14:textId="77777777" w:rsidR="00333FAA" w:rsidRPr="00F06E4E" w:rsidRDefault="00333FAA" w:rsidP="00333FAA">
      <w:pPr>
        <w:rPr>
          <w:rFonts w:cs="Arial"/>
          <w:color w:val="0000FF"/>
          <w:sz w:val="28"/>
          <w:szCs w:val="28"/>
        </w:rPr>
      </w:pPr>
    </w:p>
    <w:p w14:paraId="555D1469" w14:textId="77777777" w:rsidR="00333FAA" w:rsidRPr="007E601F" w:rsidRDefault="00333FAA" w:rsidP="00333FAA">
      <w:pPr>
        <w:pStyle w:val="Heading2"/>
        <w:rPr>
          <w:rFonts w:ascii="Arial" w:hAnsi="Arial"/>
          <w:sz w:val="28"/>
          <w:szCs w:val="28"/>
        </w:rPr>
      </w:pPr>
      <w:r w:rsidRPr="007E601F">
        <w:rPr>
          <w:rFonts w:ascii="Arial" w:hAnsi="Arial"/>
          <w:sz w:val="28"/>
          <w:szCs w:val="28"/>
        </w:rPr>
        <w:t>Why a change is needed</w:t>
      </w:r>
    </w:p>
    <w:p w14:paraId="6EE4E54C" w14:textId="454AD296" w:rsidR="00333FAA" w:rsidRPr="007E601F" w:rsidRDefault="007E601F" w:rsidP="00333FAA">
      <w:pPr>
        <w:rPr>
          <w:rFonts w:cs="Arial"/>
          <w:szCs w:val="24"/>
        </w:rPr>
      </w:pPr>
      <w:r w:rsidRPr="007E601F">
        <w:rPr>
          <w:rFonts w:cs="Arial"/>
          <w:szCs w:val="24"/>
        </w:rPr>
        <w:t>The current contract with Capita expires on 31 March 2024</w:t>
      </w:r>
      <w:r w:rsidR="00B452B7">
        <w:rPr>
          <w:rFonts w:cs="Arial"/>
          <w:szCs w:val="24"/>
        </w:rPr>
        <w:t xml:space="preserve">.  It is vital that Education Services has a reliable and comprehensive </w:t>
      </w:r>
      <w:r w:rsidR="00936416">
        <w:rPr>
          <w:rFonts w:cs="Arial"/>
          <w:szCs w:val="24"/>
        </w:rPr>
        <w:t>IT system to support its activities</w:t>
      </w:r>
      <w:r w:rsidR="00D96ECD">
        <w:rPr>
          <w:rFonts w:cs="Arial"/>
          <w:szCs w:val="24"/>
        </w:rPr>
        <w:t>.</w:t>
      </w:r>
    </w:p>
    <w:p w14:paraId="4F079216" w14:textId="77777777" w:rsidR="007E601F" w:rsidRPr="00F06E4E" w:rsidRDefault="007E601F" w:rsidP="00333FAA">
      <w:pPr>
        <w:rPr>
          <w:rFonts w:cs="Arial"/>
          <w:color w:val="0000FF"/>
          <w:sz w:val="28"/>
          <w:szCs w:val="28"/>
        </w:rPr>
      </w:pPr>
    </w:p>
    <w:p w14:paraId="5E3D76B0" w14:textId="77777777" w:rsidR="00333FAA" w:rsidRPr="009A7141" w:rsidRDefault="00333FAA" w:rsidP="00333FAA">
      <w:pPr>
        <w:pStyle w:val="Heading2"/>
        <w:rPr>
          <w:rFonts w:ascii="Arial" w:hAnsi="Arial"/>
          <w:sz w:val="28"/>
          <w:szCs w:val="28"/>
        </w:rPr>
      </w:pPr>
      <w:r w:rsidRPr="009A7141">
        <w:rPr>
          <w:rFonts w:ascii="Arial" w:hAnsi="Arial"/>
          <w:sz w:val="28"/>
          <w:szCs w:val="28"/>
        </w:rPr>
        <w:t>Implications of the Recommendation</w:t>
      </w:r>
    </w:p>
    <w:p w14:paraId="394BAE67" w14:textId="13A6BC03" w:rsidR="009A440A" w:rsidRPr="00240760" w:rsidRDefault="007341C1" w:rsidP="00240760">
      <w:pPr>
        <w:pStyle w:val="Heading3"/>
        <w:ind w:left="0" w:hanging="11"/>
        <w:rPr>
          <w:b w:val="0"/>
          <w:bCs w:val="0"/>
          <w:sz w:val="24"/>
          <w:szCs w:val="24"/>
        </w:rPr>
      </w:pPr>
      <w:r>
        <w:rPr>
          <w:b w:val="0"/>
          <w:bCs w:val="0"/>
          <w:sz w:val="24"/>
          <w:szCs w:val="24"/>
        </w:rPr>
        <w:t xml:space="preserve">The recommendation </w:t>
      </w:r>
      <w:r w:rsidR="006B5CD7">
        <w:rPr>
          <w:b w:val="0"/>
          <w:bCs w:val="0"/>
          <w:sz w:val="24"/>
          <w:szCs w:val="24"/>
        </w:rPr>
        <w:t xml:space="preserve">is to enter into </w:t>
      </w:r>
      <w:r w:rsidR="00527F01">
        <w:rPr>
          <w:b w:val="0"/>
          <w:bCs w:val="0"/>
          <w:sz w:val="24"/>
          <w:szCs w:val="24"/>
        </w:rPr>
        <w:t xml:space="preserve">a </w:t>
      </w:r>
      <w:r w:rsidR="006B5CD7">
        <w:rPr>
          <w:b w:val="0"/>
          <w:bCs w:val="0"/>
          <w:sz w:val="24"/>
          <w:szCs w:val="24"/>
        </w:rPr>
        <w:t>contract with Capita Education Services</w:t>
      </w:r>
      <w:r w:rsidR="009D3C79">
        <w:rPr>
          <w:b w:val="0"/>
          <w:bCs w:val="0"/>
          <w:sz w:val="24"/>
          <w:szCs w:val="24"/>
        </w:rPr>
        <w:t xml:space="preserve">, which will meet Education IT needs for </w:t>
      </w:r>
      <w:r w:rsidR="001A51B7">
        <w:rPr>
          <w:b w:val="0"/>
          <w:bCs w:val="0"/>
          <w:sz w:val="24"/>
          <w:szCs w:val="24"/>
        </w:rPr>
        <w:t>the next 3 year</w:t>
      </w:r>
      <w:r w:rsidR="00E31761">
        <w:rPr>
          <w:b w:val="0"/>
          <w:bCs w:val="0"/>
          <w:sz w:val="24"/>
          <w:szCs w:val="24"/>
        </w:rPr>
        <w:t xml:space="preserve">s.  </w:t>
      </w:r>
      <w:r w:rsidR="00080F82">
        <w:rPr>
          <w:b w:val="0"/>
          <w:bCs w:val="0"/>
          <w:sz w:val="24"/>
          <w:szCs w:val="24"/>
        </w:rPr>
        <w:t xml:space="preserve">In the second year of this contract, a market assessment will be carried out to determine </w:t>
      </w:r>
      <w:r w:rsidR="000C24C6">
        <w:rPr>
          <w:b w:val="0"/>
          <w:bCs w:val="0"/>
          <w:sz w:val="24"/>
          <w:szCs w:val="24"/>
        </w:rPr>
        <w:t xml:space="preserve">the offer available from other suppliers, and to </w:t>
      </w:r>
      <w:r w:rsidR="00523FF1">
        <w:rPr>
          <w:b w:val="0"/>
          <w:bCs w:val="0"/>
          <w:sz w:val="24"/>
          <w:szCs w:val="24"/>
        </w:rPr>
        <w:t xml:space="preserve">see </w:t>
      </w:r>
      <w:r w:rsidR="000C24C6">
        <w:rPr>
          <w:b w:val="0"/>
          <w:bCs w:val="0"/>
          <w:sz w:val="24"/>
          <w:szCs w:val="24"/>
        </w:rPr>
        <w:t xml:space="preserve">if new suppliers have entered the </w:t>
      </w:r>
      <w:r w:rsidR="009E0255">
        <w:rPr>
          <w:b w:val="0"/>
          <w:bCs w:val="0"/>
          <w:sz w:val="24"/>
          <w:szCs w:val="24"/>
        </w:rPr>
        <w:t>market.</w:t>
      </w:r>
      <w:r w:rsidR="005B23B6">
        <w:rPr>
          <w:b w:val="0"/>
          <w:bCs w:val="0"/>
          <w:sz w:val="24"/>
          <w:szCs w:val="24"/>
        </w:rPr>
        <w:t xml:space="preserve">  The quality of service and value for money of </w:t>
      </w:r>
      <w:r w:rsidR="00496460">
        <w:rPr>
          <w:b w:val="0"/>
          <w:bCs w:val="0"/>
          <w:sz w:val="24"/>
          <w:szCs w:val="24"/>
        </w:rPr>
        <w:t>the proposed contract will be kept under scrutiny throughout the period, and will inform any decisions around extensions or market testing.</w:t>
      </w:r>
    </w:p>
    <w:p w14:paraId="55B5D168" w14:textId="77777777" w:rsidR="009A440A" w:rsidRDefault="009A440A" w:rsidP="009C5160">
      <w:pPr>
        <w:pStyle w:val="Heading2"/>
        <w:rPr>
          <w:rFonts w:ascii="Arial" w:hAnsi="Arial"/>
          <w:sz w:val="28"/>
          <w:szCs w:val="28"/>
        </w:rPr>
      </w:pPr>
    </w:p>
    <w:p w14:paraId="12B2B7E2" w14:textId="276E8374" w:rsidR="00333FAA" w:rsidRPr="009C5160" w:rsidRDefault="00333FAA" w:rsidP="009C5160">
      <w:pPr>
        <w:pStyle w:val="Heading2"/>
        <w:rPr>
          <w:rFonts w:ascii="Arial" w:hAnsi="Arial"/>
          <w:sz w:val="28"/>
          <w:szCs w:val="28"/>
        </w:rPr>
      </w:pPr>
      <w:r w:rsidRPr="009C5160">
        <w:rPr>
          <w:rFonts w:ascii="Arial" w:hAnsi="Arial"/>
          <w:sz w:val="28"/>
          <w:szCs w:val="28"/>
        </w:rPr>
        <w:lastRenderedPageBreak/>
        <w:t>Performance Issues</w:t>
      </w:r>
    </w:p>
    <w:p w14:paraId="69102A06" w14:textId="02EC3043" w:rsidR="00330832" w:rsidRPr="007341C1" w:rsidRDefault="00037425" w:rsidP="00330832">
      <w:pPr>
        <w:pStyle w:val="paragraph"/>
        <w:spacing w:before="0" w:beforeAutospacing="0" w:after="0" w:afterAutospacing="0"/>
        <w:textAlignment w:val="baseline"/>
        <w:rPr>
          <w:rFonts w:ascii="Arial" w:hAnsi="Arial" w:cs="Arial"/>
        </w:rPr>
      </w:pPr>
      <w:r w:rsidRPr="007341C1">
        <w:rPr>
          <w:rFonts w:ascii="Arial" w:hAnsi="Arial" w:cs="Arial"/>
        </w:rPr>
        <w:t xml:space="preserve">A wide range of performance information relating to </w:t>
      </w:r>
      <w:r w:rsidR="00564AAE" w:rsidRPr="007341C1">
        <w:rPr>
          <w:rFonts w:ascii="Arial" w:hAnsi="Arial" w:cs="Arial"/>
        </w:rPr>
        <w:t>educational achievement, attendance, exclusions</w:t>
      </w:r>
      <w:r w:rsidR="0099412D" w:rsidRPr="007341C1">
        <w:rPr>
          <w:rFonts w:ascii="Arial" w:hAnsi="Arial" w:cs="Arial"/>
        </w:rPr>
        <w:t>, SEND</w:t>
      </w:r>
      <w:r w:rsidR="009752D3" w:rsidRPr="007341C1">
        <w:rPr>
          <w:rFonts w:ascii="Arial" w:hAnsi="Arial" w:cs="Arial"/>
        </w:rPr>
        <w:t xml:space="preserve">, Youth Offending and Children’s Centres is generated from the </w:t>
      </w:r>
      <w:r w:rsidR="00D849D9" w:rsidRPr="007341C1">
        <w:rPr>
          <w:rFonts w:ascii="Arial" w:hAnsi="Arial" w:cs="Arial"/>
        </w:rPr>
        <w:t xml:space="preserve">One EMS (and </w:t>
      </w:r>
      <w:proofErr w:type="spellStart"/>
      <w:r w:rsidR="00D849D9" w:rsidRPr="007341C1">
        <w:rPr>
          <w:rFonts w:ascii="Arial" w:hAnsi="Arial" w:cs="Arial"/>
        </w:rPr>
        <w:t>eStart</w:t>
      </w:r>
      <w:proofErr w:type="spellEnd"/>
      <w:r w:rsidR="00D849D9" w:rsidRPr="007341C1">
        <w:rPr>
          <w:rFonts w:ascii="Arial" w:hAnsi="Arial" w:cs="Arial"/>
        </w:rPr>
        <w:t xml:space="preserve">) systems.  An integrated </w:t>
      </w:r>
      <w:r w:rsidR="00AB58F1" w:rsidRPr="007341C1">
        <w:rPr>
          <w:rFonts w:ascii="Arial" w:hAnsi="Arial" w:cs="Arial"/>
        </w:rPr>
        <w:t xml:space="preserve">system with versatile reporting capabilities is necessary to support </w:t>
      </w:r>
      <w:r w:rsidR="00C20495" w:rsidRPr="007341C1">
        <w:rPr>
          <w:rFonts w:ascii="Arial" w:hAnsi="Arial" w:cs="Arial"/>
        </w:rPr>
        <w:t xml:space="preserve">monitoring and improvement across </w:t>
      </w:r>
      <w:r w:rsidR="00D91986">
        <w:rPr>
          <w:rFonts w:ascii="Arial" w:hAnsi="Arial" w:cs="Arial"/>
        </w:rPr>
        <w:t>education in the Borough.</w:t>
      </w:r>
    </w:p>
    <w:p w14:paraId="0D4B4C19" w14:textId="77777777" w:rsidR="00564AAE" w:rsidRPr="007341C1" w:rsidRDefault="00564AAE" w:rsidP="00330832">
      <w:pPr>
        <w:pStyle w:val="paragraph"/>
        <w:spacing w:before="0" w:beforeAutospacing="0" w:after="0" w:afterAutospacing="0"/>
        <w:textAlignment w:val="baseline"/>
        <w:rPr>
          <w:rFonts w:ascii="Arial" w:hAnsi="Arial" w:cs="Arial"/>
        </w:rPr>
      </w:pPr>
    </w:p>
    <w:p w14:paraId="0CDAFD1F" w14:textId="033863E6" w:rsidR="00714BEE" w:rsidRPr="00240760" w:rsidRDefault="00037425" w:rsidP="00240760">
      <w:pPr>
        <w:pStyle w:val="paragraph"/>
        <w:spacing w:before="0" w:beforeAutospacing="0" w:after="0" w:afterAutospacing="0"/>
        <w:textAlignment w:val="baseline"/>
        <w:rPr>
          <w:rFonts w:ascii="Arial" w:hAnsi="Arial" w:cs="Arial"/>
        </w:rPr>
      </w:pPr>
      <w:r w:rsidRPr="007341C1">
        <w:rPr>
          <w:rFonts w:ascii="Arial" w:hAnsi="Arial" w:cs="Arial"/>
        </w:rPr>
        <w:t xml:space="preserve">In terms of the performance </w:t>
      </w:r>
      <w:r w:rsidR="00564AAE" w:rsidRPr="007341C1">
        <w:rPr>
          <w:rFonts w:ascii="Arial" w:hAnsi="Arial" w:cs="Arial"/>
        </w:rPr>
        <w:t xml:space="preserve">of </w:t>
      </w:r>
      <w:r w:rsidR="00D91986">
        <w:rPr>
          <w:rFonts w:ascii="Arial" w:hAnsi="Arial" w:cs="Arial"/>
        </w:rPr>
        <w:t>the system</w:t>
      </w:r>
      <w:r w:rsidR="00564AAE" w:rsidRPr="007341C1">
        <w:rPr>
          <w:rFonts w:ascii="Arial" w:hAnsi="Arial" w:cs="Arial"/>
        </w:rPr>
        <w:t>,</w:t>
      </w:r>
      <w:r w:rsidR="0038438B" w:rsidRPr="007341C1">
        <w:rPr>
          <w:rFonts w:ascii="Arial" w:hAnsi="Arial" w:cs="Arial"/>
        </w:rPr>
        <w:t xml:space="preserve"> </w:t>
      </w:r>
      <w:r w:rsidR="00D91986">
        <w:rPr>
          <w:rFonts w:ascii="Arial" w:hAnsi="Arial" w:cs="Arial"/>
        </w:rPr>
        <w:t>an</w:t>
      </w:r>
      <w:r w:rsidR="0038438B" w:rsidRPr="007341C1">
        <w:rPr>
          <w:rFonts w:ascii="Arial" w:hAnsi="Arial" w:cs="Arial"/>
        </w:rPr>
        <w:t xml:space="preserve"> improvement programme is in place </w:t>
      </w:r>
      <w:r w:rsidR="00F6150B" w:rsidRPr="007341C1">
        <w:rPr>
          <w:rFonts w:ascii="Arial" w:hAnsi="Arial" w:cs="Arial"/>
        </w:rPr>
        <w:t xml:space="preserve">for elements of </w:t>
      </w:r>
      <w:r w:rsidR="00D91986">
        <w:rPr>
          <w:rFonts w:ascii="Arial" w:hAnsi="Arial" w:cs="Arial"/>
        </w:rPr>
        <w:t>the current provision</w:t>
      </w:r>
      <w:r w:rsidR="00F6150B" w:rsidRPr="007341C1">
        <w:rPr>
          <w:rFonts w:ascii="Arial" w:hAnsi="Arial" w:cs="Arial"/>
        </w:rPr>
        <w:t xml:space="preserve">, in particular around </w:t>
      </w:r>
      <w:r w:rsidR="00D672A9">
        <w:rPr>
          <w:rFonts w:ascii="Arial" w:hAnsi="Arial" w:cs="Arial"/>
        </w:rPr>
        <w:t xml:space="preserve">improving accessibility while maintaining </w:t>
      </w:r>
      <w:r w:rsidR="009C5160">
        <w:rPr>
          <w:rFonts w:ascii="Arial" w:hAnsi="Arial" w:cs="Arial"/>
        </w:rPr>
        <w:t>security</w:t>
      </w:r>
      <w:r w:rsidR="00D672A9">
        <w:rPr>
          <w:rFonts w:ascii="Arial" w:hAnsi="Arial" w:cs="Arial"/>
        </w:rPr>
        <w:t xml:space="preserve"> (</w:t>
      </w:r>
      <w:r w:rsidR="00C1237A" w:rsidRPr="007341C1">
        <w:rPr>
          <w:rFonts w:ascii="Arial" w:hAnsi="Arial" w:cs="Arial"/>
        </w:rPr>
        <w:t>single sign</w:t>
      </w:r>
      <w:r w:rsidR="00D91986">
        <w:rPr>
          <w:rFonts w:ascii="Arial" w:hAnsi="Arial" w:cs="Arial"/>
        </w:rPr>
        <w:t>-</w:t>
      </w:r>
      <w:r w:rsidR="00C1237A" w:rsidRPr="007341C1">
        <w:rPr>
          <w:rFonts w:ascii="Arial" w:hAnsi="Arial" w:cs="Arial"/>
        </w:rPr>
        <w:t>on and multi</w:t>
      </w:r>
      <w:r w:rsidR="00D672A9">
        <w:rPr>
          <w:rFonts w:ascii="Arial" w:hAnsi="Arial" w:cs="Arial"/>
        </w:rPr>
        <w:t>-</w:t>
      </w:r>
      <w:r w:rsidR="00C1237A" w:rsidRPr="007341C1">
        <w:rPr>
          <w:rFonts w:ascii="Arial" w:hAnsi="Arial" w:cs="Arial"/>
        </w:rPr>
        <w:t>factor authentication</w:t>
      </w:r>
      <w:r w:rsidR="00D672A9">
        <w:rPr>
          <w:rFonts w:ascii="Arial" w:hAnsi="Arial" w:cs="Arial"/>
        </w:rPr>
        <w:t>)</w:t>
      </w:r>
      <w:r w:rsidR="00F6150B" w:rsidRPr="007341C1">
        <w:rPr>
          <w:rFonts w:ascii="Arial" w:hAnsi="Arial" w:cs="Arial"/>
        </w:rPr>
        <w:t xml:space="preserve"> and progress</w:t>
      </w:r>
      <w:r w:rsidR="00C1237A" w:rsidRPr="007341C1">
        <w:rPr>
          <w:rFonts w:ascii="Arial" w:hAnsi="Arial" w:cs="Arial"/>
        </w:rPr>
        <w:t xml:space="preserve"> in upgrading the Admissions module.  These areas have formed part of the contract discussion </w:t>
      </w:r>
      <w:r w:rsidR="0099412D" w:rsidRPr="007341C1">
        <w:rPr>
          <w:rFonts w:ascii="Arial" w:hAnsi="Arial" w:cs="Arial"/>
        </w:rPr>
        <w:t>and will remain priorities for improvement.</w:t>
      </w:r>
    </w:p>
    <w:p w14:paraId="482D5093" w14:textId="2E729BA1" w:rsidR="00333FAA" w:rsidRPr="00240760" w:rsidRDefault="00333FAA" w:rsidP="008F6E64">
      <w:pPr>
        <w:pStyle w:val="Heading3"/>
        <w:spacing w:before="480" w:after="240"/>
        <w:ind w:left="0" w:firstLine="0"/>
      </w:pPr>
      <w:r w:rsidRPr="00240760">
        <w:t>Environmental Implications</w:t>
      </w:r>
      <w:r w:rsidR="00B84591" w:rsidRPr="00240760">
        <w:t xml:space="preserve"> &amp; </w:t>
      </w:r>
      <w:r w:rsidR="00655436" w:rsidRPr="00240760">
        <w:t>Social Value</w:t>
      </w:r>
    </w:p>
    <w:p w14:paraId="26AFCB19" w14:textId="5229511C" w:rsidR="007F1163" w:rsidRPr="00240760" w:rsidRDefault="00B12151" w:rsidP="007F1163">
      <w:r w:rsidRPr="00240760">
        <w:t xml:space="preserve">A social value statement is appended to the contract which describes </w:t>
      </w:r>
      <w:r w:rsidR="00CB4F2E" w:rsidRPr="00240760">
        <w:t xml:space="preserve">Capita’s commitment to reducing its environmental impact, and specifically to achieve full net zero by 2035, with interim steps of </w:t>
      </w:r>
      <w:r w:rsidR="002A0F50" w:rsidRPr="00240760">
        <w:t>‘</w:t>
      </w:r>
      <w:r w:rsidR="00CB4F2E" w:rsidRPr="00240760">
        <w:t>operational net zero</w:t>
      </w:r>
      <w:r w:rsidR="002A0F50" w:rsidRPr="00240760">
        <w:t>’</w:t>
      </w:r>
      <w:r w:rsidR="00CB4F2E" w:rsidRPr="00240760">
        <w:t xml:space="preserve"> by 2025 and </w:t>
      </w:r>
      <w:r w:rsidR="002A0F50" w:rsidRPr="00240760">
        <w:t>‘</w:t>
      </w:r>
      <w:r w:rsidR="00CB4F2E" w:rsidRPr="00240760">
        <w:t>operational + travel net zero</w:t>
      </w:r>
      <w:r w:rsidR="002A0F50" w:rsidRPr="00240760">
        <w:t>’</w:t>
      </w:r>
      <w:r w:rsidR="00CB4F2E" w:rsidRPr="00240760">
        <w:t xml:space="preserve"> by </w:t>
      </w:r>
      <w:r w:rsidR="00A60797" w:rsidRPr="00240760">
        <w:t>2030.</w:t>
      </w:r>
    </w:p>
    <w:p w14:paraId="2B14A97B" w14:textId="77777777" w:rsidR="00B84591" w:rsidRPr="00240760" w:rsidRDefault="00B84591" w:rsidP="00B84591"/>
    <w:p w14:paraId="3D4C30FA" w14:textId="09914B6D" w:rsidR="00F50DF3" w:rsidRPr="00240760" w:rsidRDefault="00A60797" w:rsidP="00B84591">
      <w:r w:rsidRPr="00240760">
        <w:t xml:space="preserve">In addition to the environmental </w:t>
      </w:r>
      <w:r w:rsidR="00A7399F" w:rsidRPr="00240760">
        <w:t xml:space="preserve">impact commitment, </w:t>
      </w:r>
      <w:r w:rsidR="00075F42" w:rsidRPr="00240760">
        <w:t xml:space="preserve">the statement also covers Capita’s 5-year Responsible Business Strategy, </w:t>
      </w:r>
      <w:r w:rsidR="00A72521" w:rsidRPr="00240760">
        <w:t xml:space="preserve">and </w:t>
      </w:r>
      <w:r w:rsidR="004763F9" w:rsidRPr="00240760">
        <w:t xml:space="preserve">commits to discussing </w:t>
      </w:r>
      <w:r w:rsidR="00B84591" w:rsidRPr="00240760">
        <w:t xml:space="preserve">with the Council how </w:t>
      </w:r>
      <w:r w:rsidR="00A72521" w:rsidRPr="00240760">
        <w:t>Capita</w:t>
      </w:r>
      <w:r w:rsidR="00B84591" w:rsidRPr="00240760">
        <w:t xml:space="preserve"> could </w:t>
      </w:r>
      <w:r w:rsidR="00385CF8" w:rsidRPr="00240760">
        <w:t>provide</w:t>
      </w:r>
      <w:r w:rsidR="00B84591" w:rsidRPr="00240760">
        <w:t xml:space="preserve"> social value</w:t>
      </w:r>
      <w:r w:rsidR="00A72521" w:rsidRPr="00240760">
        <w:t xml:space="preserve"> in the borough</w:t>
      </w:r>
      <w:r w:rsidR="00FD0FE7" w:rsidRPr="00240760">
        <w:t>, with examples</w:t>
      </w:r>
      <w:r w:rsidR="00A72521" w:rsidRPr="00240760">
        <w:t xml:space="preserve"> given</w:t>
      </w:r>
      <w:r w:rsidR="00FD0FE7" w:rsidRPr="00240760">
        <w:t xml:space="preserve"> of</w:t>
      </w:r>
      <w:r w:rsidR="00B84591" w:rsidRPr="00240760">
        <w:t xml:space="preserve"> </w:t>
      </w:r>
      <w:r w:rsidR="002A0F50" w:rsidRPr="00240760">
        <w:t>d</w:t>
      </w:r>
      <w:r w:rsidR="00655436" w:rsidRPr="00240760">
        <w:t xml:space="preserve">igital </w:t>
      </w:r>
      <w:r w:rsidR="002A0F50" w:rsidRPr="00240760">
        <w:t>s</w:t>
      </w:r>
      <w:r w:rsidR="00655436" w:rsidRPr="00240760">
        <w:t>kills training</w:t>
      </w:r>
      <w:r w:rsidR="002A0F50" w:rsidRPr="00240760">
        <w:t xml:space="preserve"> for residents</w:t>
      </w:r>
      <w:r w:rsidR="00655436" w:rsidRPr="00240760">
        <w:t xml:space="preserve">, curriculum support </w:t>
      </w:r>
      <w:r w:rsidR="00FD0FE7" w:rsidRPr="00240760">
        <w:t xml:space="preserve">in local schools and colleges or support to local voluntary and community sector </w:t>
      </w:r>
      <w:r w:rsidR="00385CF8" w:rsidRPr="00240760">
        <w:t>organisations.</w:t>
      </w:r>
    </w:p>
    <w:p w14:paraId="31409836" w14:textId="54257D7E" w:rsidR="002A3FEF" w:rsidRPr="00240760" w:rsidRDefault="002A3FEF" w:rsidP="008F6E64">
      <w:pPr>
        <w:pStyle w:val="Heading3"/>
        <w:spacing w:before="480" w:after="240"/>
        <w:ind w:left="0" w:firstLine="0"/>
      </w:pPr>
      <w:r w:rsidRPr="00240760">
        <w:t>Dat</w:t>
      </w:r>
      <w:r w:rsidR="00DE72CF" w:rsidRPr="00240760">
        <w:t>a</w:t>
      </w:r>
      <w:r w:rsidRPr="00240760">
        <w:t xml:space="preserve"> Protection Implications</w:t>
      </w:r>
    </w:p>
    <w:p w14:paraId="3F636A9A" w14:textId="7CB35381" w:rsidR="00240760" w:rsidRPr="00240760" w:rsidRDefault="00003F27" w:rsidP="00330832">
      <w:pPr>
        <w:pStyle w:val="paragraph"/>
        <w:spacing w:before="0" w:beforeAutospacing="0" w:after="0" w:afterAutospacing="0"/>
        <w:textAlignment w:val="baseline"/>
        <w:rPr>
          <w:rFonts w:ascii="Arial" w:hAnsi="Arial" w:cs="Arial"/>
        </w:rPr>
      </w:pPr>
      <w:r w:rsidRPr="00240760">
        <w:rPr>
          <w:rFonts w:ascii="Arial" w:hAnsi="Arial" w:cs="Arial"/>
        </w:rPr>
        <w:t xml:space="preserve">There are no changes to the </w:t>
      </w:r>
      <w:r w:rsidR="00BD07D1" w:rsidRPr="00240760">
        <w:rPr>
          <w:rFonts w:ascii="Arial" w:hAnsi="Arial" w:cs="Arial"/>
        </w:rPr>
        <w:t xml:space="preserve">infrastructure or software associated with entering into </w:t>
      </w:r>
      <w:r w:rsidR="00F758D9" w:rsidRPr="00240760">
        <w:rPr>
          <w:rFonts w:ascii="Arial" w:hAnsi="Arial" w:cs="Arial"/>
        </w:rPr>
        <w:t xml:space="preserve">the proposed new </w:t>
      </w:r>
      <w:r w:rsidR="00BD07D1" w:rsidRPr="00240760">
        <w:rPr>
          <w:rFonts w:ascii="Arial" w:hAnsi="Arial" w:cs="Arial"/>
        </w:rPr>
        <w:t xml:space="preserve">contract. </w:t>
      </w:r>
      <w:r w:rsidR="00087BB7" w:rsidRPr="00240760">
        <w:rPr>
          <w:rFonts w:ascii="Arial" w:hAnsi="Arial" w:cs="Arial"/>
        </w:rPr>
        <w:t>Nevertheless, the impact assessment that was carried out at the transfer to cloud</w:t>
      </w:r>
      <w:r w:rsidR="00831008" w:rsidRPr="00240760">
        <w:rPr>
          <w:rFonts w:ascii="Arial" w:hAnsi="Arial" w:cs="Arial"/>
        </w:rPr>
        <w:t>-</w:t>
      </w:r>
      <w:r w:rsidR="00087BB7" w:rsidRPr="00240760">
        <w:rPr>
          <w:rFonts w:ascii="Arial" w:hAnsi="Arial" w:cs="Arial"/>
        </w:rPr>
        <w:t xml:space="preserve">based services </w:t>
      </w:r>
      <w:r w:rsidR="00C242F1" w:rsidRPr="00240760">
        <w:rPr>
          <w:rFonts w:ascii="Arial" w:hAnsi="Arial" w:cs="Arial"/>
        </w:rPr>
        <w:t>in 2020 is being reviewed and updated with the D</w:t>
      </w:r>
      <w:r w:rsidR="00147621" w:rsidRPr="00240760">
        <w:rPr>
          <w:rFonts w:ascii="Arial" w:hAnsi="Arial" w:cs="Arial"/>
        </w:rPr>
        <w:t xml:space="preserve">ata </w:t>
      </w:r>
      <w:r w:rsidR="00C242F1" w:rsidRPr="00240760">
        <w:rPr>
          <w:rFonts w:ascii="Arial" w:hAnsi="Arial" w:cs="Arial"/>
        </w:rPr>
        <w:t>P</w:t>
      </w:r>
      <w:r w:rsidR="00147621" w:rsidRPr="00240760">
        <w:rPr>
          <w:rFonts w:ascii="Arial" w:hAnsi="Arial" w:cs="Arial"/>
        </w:rPr>
        <w:t xml:space="preserve">rotection </w:t>
      </w:r>
      <w:r w:rsidR="00C242F1" w:rsidRPr="00240760">
        <w:rPr>
          <w:rFonts w:ascii="Arial" w:hAnsi="Arial" w:cs="Arial"/>
        </w:rPr>
        <w:t>O</w:t>
      </w:r>
      <w:r w:rsidR="00147621" w:rsidRPr="00240760">
        <w:rPr>
          <w:rFonts w:ascii="Arial" w:hAnsi="Arial" w:cs="Arial"/>
        </w:rPr>
        <w:t>fficer and Cyber Security</w:t>
      </w:r>
      <w:r w:rsidR="00C242F1" w:rsidRPr="00240760">
        <w:rPr>
          <w:rFonts w:ascii="Arial" w:hAnsi="Arial" w:cs="Arial"/>
        </w:rPr>
        <w:t xml:space="preserve"> </w:t>
      </w:r>
      <w:r w:rsidR="00F758D9" w:rsidRPr="00240760">
        <w:rPr>
          <w:rFonts w:ascii="Arial" w:hAnsi="Arial" w:cs="Arial"/>
        </w:rPr>
        <w:t>Manager.</w:t>
      </w:r>
      <w:r w:rsidR="00831008" w:rsidRPr="00240760">
        <w:rPr>
          <w:rFonts w:ascii="Arial" w:hAnsi="Arial" w:cs="Arial"/>
        </w:rPr>
        <w:t xml:space="preserve">  </w:t>
      </w:r>
      <w:r w:rsidR="00BD07D1" w:rsidRPr="00240760">
        <w:rPr>
          <w:rFonts w:ascii="Arial" w:hAnsi="Arial" w:cs="Arial"/>
        </w:rPr>
        <w:t xml:space="preserve">The </w:t>
      </w:r>
      <w:r w:rsidR="00F758D9" w:rsidRPr="00240760">
        <w:rPr>
          <w:rFonts w:ascii="Arial" w:hAnsi="Arial" w:cs="Arial"/>
        </w:rPr>
        <w:t xml:space="preserve">proposed </w:t>
      </w:r>
      <w:r w:rsidR="00135177" w:rsidRPr="00240760">
        <w:rPr>
          <w:rFonts w:ascii="Arial" w:hAnsi="Arial" w:cs="Arial"/>
        </w:rPr>
        <w:t>new contract c</w:t>
      </w:r>
      <w:r w:rsidR="00831008" w:rsidRPr="00240760">
        <w:rPr>
          <w:rFonts w:ascii="Arial" w:hAnsi="Arial" w:cs="Arial"/>
        </w:rPr>
        <w:t>o</w:t>
      </w:r>
      <w:r w:rsidR="00135177" w:rsidRPr="00240760">
        <w:rPr>
          <w:rFonts w:ascii="Arial" w:hAnsi="Arial" w:cs="Arial"/>
        </w:rPr>
        <w:t xml:space="preserve">incides with the introduction of </w:t>
      </w:r>
      <w:proofErr w:type="spellStart"/>
      <w:r w:rsidR="00135177" w:rsidRPr="00240760">
        <w:rPr>
          <w:rFonts w:ascii="Arial" w:hAnsi="Arial" w:cs="Arial"/>
        </w:rPr>
        <w:t>Wonde</w:t>
      </w:r>
      <w:proofErr w:type="spellEnd"/>
      <w:r w:rsidR="00135177" w:rsidRPr="00240760">
        <w:rPr>
          <w:rFonts w:ascii="Arial" w:hAnsi="Arial" w:cs="Arial"/>
        </w:rPr>
        <w:t xml:space="preserve"> software for transfer of school</w:t>
      </w:r>
      <w:r w:rsidR="00487578" w:rsidRPr="00240760">
        <w:rPr>
          <w:rFonts w:ascii="Arial" w:hAnsi="Arial" w:cs="Arial"/>
        </w:rPr>
        <w:t>s</w:t>
      </w:r>
      <w:r w:rsidR="00135177" w:rsidRPr="00240760">
        <w:rPr>
          <w:rFonts w:ascii="Arial" w:hAnsi="Arial" w:cs="Arial"/>
        </w:rPr>
        <w:t xml:space="preserve"> data, and this is being tested and </w:t>
      </w:r>
      <w:r w:rsidR="00E56488" w:rsidRPr="00240760">
        <w:rPr>
          <w:rFonts w:ascii="Arial" w:hAnsi="Arial" w:cs="Arial"/>
        </w:rPr>
        <w:t>reviewed to ensure compliant with data protection and security requirements.</w:t>
      </w:r>
    </w:p>
    <w:p w14:paraId="75284416" w14:textId="1002A45A" w:rsidR="00A81E19" w:rsidRDefault="00A81E19" w:rsidP="00A1211C">
      <w:pPr>
        <w:pStyle w:val="Heading3"/>
        <w:spacing w:before="480" w:after="240"/>
      </w:pPr>
      <w:r>
        <w:t>Risk Management Implications</w:t>
      </w:r>
    </w:p>
    <w:p w14:paraId="3D55E482" w14:textId="39F11E0B" w:rsidR="00C616FF" w:rsidRPr="00C616FF" w:rsidRDefault="004D51B0" w:rsidP="00C616FF">
      <w:pPr>
        <w:rPr>
          <w:b/>
          <w:color w:val="FF0000"/>
        </w:rPr>
      </w:pPr>
      <w:bookmarkStart w:id="0" w:name="_Hlk60923939"/>
      <w:bookmarkStart w:id="1" w:name="_Hlk60923639"/>
      <w:r>
        <w:t>See risk section of Business Case</w:t>
      </w:r>
      <w:r w:rsidR="00184BCD">
        <w:t>.</w:t>
      </w:r>
      <w:r w:rsidR="00496460">
        <w:t xml:space="preserve">  The main risk after mitigation is around the quality of service delivered by </w:t>
      </w:r>
      <w:r w:rsidR="00C11B3C">
        <w:t xml:space="preserve">CES, and this will be a focus.  A service charter and penalties for system down-time are included in the arrangement.  There are currently fortnightly meetings with the supplier to </w:t>
      </w:r>
      <w:r w:rsidR="00032B5E">
        <w:t>track performance and priorities for improvement, and these will continue under the new contract.</w:t>
      </w:r>
    </w:p>
    <w:bookmarkEnd w:id="0"/>
    <w:bookmarkEnd w:id="1"/>
    <w:p w14:paraId="0249BBDB" w14:textId="02A38157" w:rsidR="002A3FEF" w:rsidRDefault="002A3FEF" w:rsidP="00A1211C">
      <w:pPr>
        <w:pStyle w:val="Heading3"/>
        <w:spacing w:before="480" w:after="240"/>
      </w:pPr>
      <w:r>
        <w:lastRenderedPageBreak/>
        <w:t>Procurement Implications</w:t>
      </w:r>
    </w:p>
    <w:p w14:paraId="088A7F45" w14:textId="4FCD2114" w:rsidR="002A3FEF" w:rsidRDefault="00561FBD" w:rsidP="00AD1E77">
      <w:pPr>
        <w:spacing w:before="240"/>
      </w:pPr>
      <w:r>
        <w:t>This proposal has been developed with the Council’s Procurement Team</w:t>
      </w:r>
      <w:r w:rsidR="00032B5E">
        <w:t xml:space="preserve"> and </w:t>
      </w:r>
      <w:r w:rsidR="00931383">
        <w:t>is being established under the Kent Commercial Services</w:t>
      </w:r>
      <w:r w:rsidR="005B2EA3">
        <w:t xml:space="preserve"> </w:t>
      </w:r>
      <w:r w:rsidR="4287719D">
        <w:t xml:space="preserve">(KCS) </w:t>
      </w:r>
      <w:r w:rsidR="005B2EA3">
        <w:t>Framework, which meets competition requirements</w:t>
      </w:r>
      <w:r>
        <w:t xml:space="preserve"> – see Business Case for </w:t>
      </w:r>
      <w:r w:rsidR="00931383">
        <w:t xml:space="preserve">further </w:t>
      </w:r>
      <w:r w:rsidR="00032B5E">
        <w:t>details.</w:t>
      </w:r>
    </w:p>
    <w:p w14:paraId="5A93E7D5" w14:textId="7BE414C0" w:rsidR="43752186" w:rsidRDefault="43752186" w:rsidP="499DF741">
      <w:pPr>
        <w:spacing w:before="240"/>
      </w:pPr>
      <w:r>
        <w:t>The Intention is to direct award from external KCS procurement services, Managed services framework Ref: Y20023. The Framework user guide and the Form of Direct Award document details that the Council may direct award on the grounds of Continuity of existing goods/services from an awarded supplier.</w:t>
      </w:r>
    </w:p>
    <w:p w14:paraId="6AC66E28" w14:textId="6EE76111" w:rsidR="43752186" w:rsidRDefault="43752186" w:rsidP="499DF741">
      <w:pPr>
        <w:spacing w:before="240"/>
      </w:pPr>
      <w:r>
        <w:t>The existing system already in use by The London Borough of Harrow namely “Capita One Education Software as a Service” is currently supplied by “Capita Business Services Limited”. This contract was procured using the previous KCS Framework Ref: Y16018.</w:t>
      </w:r>
    </w:p>
    <w:p w14:paraId="68BDB301" w14:textId="4D324A41" w:rsidR="43752186" w:rsidRDefault="43752186" w:rsidP="499DF741">
      <w:pPr>
        <w:spacing w:before="240"/>
      </w:pPr>
      <w:r>
        <w:t xml:space="preserve">To ensure value for money the Council developed a Statement of Requirements in compliance with the Framework direct award procedure to engage with Capita Business Services Limited. The process ensured improvements over the period of the contract and value for money.  </w:t>
      </w:r>
    </w:p>
    <w:p w14:paraId="1D54DDF6" w14:textId="0231C34B" w:rsidR="43752186" w:rsidRDefault="43752186" w:rsidP="499DF741">
      <w:pPr>
        <w:spacing w:before="240"/>
      </w:pPr>
      <w:r>
        <w:t xml:space="preserve">It is the opinion of the Procurement team (on behalf of the Head of Procurement) that the procurement process has been conducted compliant with the Public Contracts Regulations 2015 and the Council’s Contract Procedure Rules.  </w:t>
      </w:r>
    </w:p>
    <w:p w14:paraId="2D2EEDD0" w14:textId="63FD740E" w:rsidR="499DF741" w:rsidRDefault="43752186" w:rsidP="499DF741">
      <w:pPr>
        <w:spacing w:before="240"/>
      </w:pPr>
      <w:r>
        <w:t>The recommended provider namely “Capita Business Services Limited”” has demonstrated their service meets the Councils requirements and allows best value. The Procurement team therefore fully support the recommendations made in this report.</w:t>
      </w:r>
    </w:p>
    <w:p w14:paraId="44413A6E" w14:textId="77777777" w:rsidR="00333FAA" w:rsidRDefault="3684C39B" w:rsidP="00A1211C">
      <w:pPr>
        <w:pStyle w:val="Heading3"/>
        <w:spacing w:before="480" w:after="240"/>
      </w:pPr>
      <w:r>
        <w:t>Legal Implications</w:t>
      </w:r>
    </w:p>
    <w:p w14:paraId="6EB8FCF0" w14:textId="2D1BE5F1" w:rsidR="426082BD" w:rsidRDefault="426082BD" w:rsidP="2B66904C">
      <w:r>
        <w:t>Regulation 33 of the Public Contracts Regulations 2015 allows procuring authorities to enter into contracts called off under exist</w:t>
      </w:r>
      <w:r w:rsidR="4B6F15A4">
        <w:t>ing framework agreements where the framework</w:t>
      </w:r>
      <w:r w:rsidR="6CA0D52D">
        <w:t xml:space="preserve"> agreement allows them to do so.</w:t>
      </w:r>
    </w:p>
    <w:p w14:paraId="01CA477E" w14:textId="47E6F0C1" w:rsidR="2B66904C" w:rsidRDefault="2B66904C" w:rsidP="2B66904C"/>
    <w:p w14:paraId="606BF254" w14:textId="64222154" w:rsidR="207D29F9" w:rsidRDefault="207D29F9" w:rsidP="2B66904C">
      <w:pPr>
        <w:rPr>
          <w:rFonts w:eastAsia="Arial" w:cs="Arial"/>
          <w:szCs w:val="24"/>
        </w:rPr>
      </w:pPr>
      <w:r>
        <w:t xml:space="preserve">The Contract Procedure Rules </w:t>
      </w:r>
      <w:r w:rsidR="13210097">
        <w:t xml:space="preserve">(CPRs) </w:t>
      </w:r>
      <w:r>
        <w:t>set out in the Council’s constitution state that contracts awarde</w:t>
      </w:r>
      <w:r w:rsidR="0172A373">
        <w:t xml:space="preserve">d under a framework agreement only require </w:t>
      </w:r>
      <w:r w:rsidR="0172A373" w:rsidRPr="2B66904C">
        <w:rPr>
          <w:rFonts w:eastAsia="Arial" w:cs="Arial"/>
          <w:szCs w:val="24"/>
        </w:rPr>
        <w:t>a Cabinet report or Gateway 2 report for approval of award recommendations. In this instance a Cabinet report a</w:t>
      </w:r>
      <w:r w:rsidR="6F47448A" w:rsidRPr="2B66904C">
        <w:rPr>
          <w:rFonts w:eastAsia="Arial" w:cs="Arial"/>
          <w:szCs w:val="24"/>
        </w:rPr>
        <w:t>nd approval is required given the contract’s value.</w:t>
      </w:r>
    </w:p>
    <w:p w14:paraId="2875D5F2" w14:textId="7FE50724" w:rsidR="2B66904C" w:rsidRDefault="2B66904C" w:rsidP="2B66904C">
      <w:pPr>
        <w:rPr>
          <w:rFonts w:eastAsia="Arial" w:cs="Arial"/>
          <w:szCs w:val="24"/>
        </w:rPr>
      </w:pPr>
    </w:p>
    <w:p w14:paraId="41746028" w14:textId="06AA21CD" w:rsidR="6F47448A" w:rsidRDefault="6F47448A" w:rsidP="2B66904C">
      <w:pPr>
        <w:rPr>
          <w:rFonts w:eastAsia="Arial" w:cs="Arial"/>
          <w:szCs w:val="24"/>
        </w:rPr>
      </w:pPr>
      <w:r w:rsidRPr="2B66904C">
        <w:rPr>
          <w:rFonts w:eastAsia="Arial" w:cs="Arial"/>
          <w:szCs w:val="24"/>
        </w:rPr>
        <w:t>Section 4.4 of the C</w:t>
      </w:r>
      <w:r w:rsidR="6D0B8ECE" w:rsidRPr="2B66904C">
        <w:rPr>
          <w:rFonts w:eastAsia="Arial" w:cs="Arial"/>
          <w:szCs w:val="24"/>
        </w:rPr>
        <w:t xml:space="preserve">PRs states that Framework Agreements that have been established by other Public Sector Bodies that are lawfully accessible to the Council should be used in accordance with the terms and conditions of the relevant </w:t>
      </w:r>
      <w:r w:rsidR="78DA0993" w:rsidRPr="2B66904C">
        <w:rPr>
          <w:rFonts w:eastAsia="Arial" w:cs="Arial"/>
          <w:szCs w:val="24"/>
        </w:rPr>
        <w:t>f</w:t>
      </w:r>
      <w:r w:rsidR="6D0B8ECE" w:rsidRPr="2B66904C">
        <w:rPr>
          <w:rFonts w:eastAsia="Arial" w:cs="Arial"/>
          <w:szCs w:val="24"/>
        </w:rPr>
        <w:t xml:space="preserve">ramework </w:t>
      </w:r>
      <w:r w:rsidR="5A8A4CC8" w:rsidRPr="2B66904C">
        <w:rPr>
          <w:rFonts w:eastAsia="Arial" w:cs="Arial"/>
          <w:szCs w:val="24"/>
        </w:rPr>
        <w:t>a</w:t>
      </w:r>
      <w:r w:rsidR="6D0B8ECE" w:rsidRPr="2B66904C">
        <w:rPr>
          <w:rFonts w:eastAsia="Arial" w:cs="Arial"/>
          <w:szCs w:val="24"/>
        </w:rPr>
        <w:t>greement. The proposed contract would be</w:t>
      </w:r>
      <w:r w:rsidR="7437842E" w:rsidRPr="2B66904C">
        <w:rPr>
          <w:rFonts w:eastAsia="Arial" w:cs="Arial"/>
          <w:szCs w:val="24"/>
        </w:rPr>
        <w:t xml:space="preserve"> entered into in accordance with the terms and conditions of the framework agreement.</w:t>
      </w:r>
    </w:p>
    <w:p w14:paraId="5946CB42" w14:textId="3A9925DE" w:rsidR="2B66904C" w:rsidRDefault="2B66904C"/>
    <w:p w14:paraId="77A1B6E7" w14:textId="484C7290" w:rsidR="00A1211C" w:rsidRPr="00F5649A" w:rsidRDefault="39C7E8DE" w:rsidP="00A1211C">
      <w:r>
        <w:lastRenderedPageBreak/>
        <w:t xml:space="preserve">The </w:t>
      </w:r>
      <w:r w:rsidR="04B91C6D">
        <w:t>framework agreement</w:t>
      </w:r>
      <w:r>
        <w:t xml:space="preserve"> ha</w:t>
      </w:r>
      <w:r w:rsidR="7E4F3251">
        <w:t>s</w:t>
      </w:r>
      <w:r>
        <w:t xml:space="preserve"> been </w:t>
      </w:r>
      <w:r w:rsidR="38E74C94">
        <w:t>reviewed by HB Public Law</w:t>
      </w:r>
      <w:r w:rsidR="22AD2080">
        <w:t xml:space="preserve"> with advice being given where needed.</w:t>
      </w:r>
      <w:r w:rsidR="30AB1CDD">
        <w:t xml:space="preserve"> </w:t>
      </w:r>
      <w:r w:rsidR="34589916">
        <w:t xml:space="preserve"> and, where permitted, amendments </w:t>
      </w:r>
    </w:p>
    <w:p w14:paraId="11F2AC04" w14:textId="77777777" w:rsidR="00333FAA" w:rsidRDefault="00333FAA" w:rsidP="00A1211C">
      <w:pPr>
        <w:pStyle w:val="Heading3"/>
        <w:spacing w:before="480" w:after="240"/>
      </w:pPr>
      <w:r>
        <w:t>Financial Implications</w:t>
      </w:r>
    </w:p>
    <w:p w14:paraId="084DA217" w14:textId="77777777" w:rsidR="00E94CE0" w:rsidRDefault="004D3727" w:rsidP="00561FBD">
      <w:r>
        <w:t>There is an annual revenue budget of £185k to support this contract.</w:t>
      </w:r>
      <w:r w:rsidR="00961EFF">
        <w:t xml:space="preserve"> </w:t>
      </w:r>
      <w:r w:rsidR="00A72226">
        <w:t>Th</w:t>
      </w:r>
      <w:r w:rsidR="00456ECC">
        <w:t>e proposed</w:t>
      </w:r>
      <w:r w:rsidR="00A72226">
        <w:t xml:space="preserve"> three year arrangement </w:t>
      </w:r>
      <w:r>
        <w:t xml:space="preserve">at a cost of </w:t>
      </w:r>
      <w:r w:rsidR="00F3224B">
        <w:t>£52</w:t>
      </w:r>
      <w:r w:rsidR="005875D8">
        <w:t>8</w:t>
      </w:r>
      <w:r w:rsidR="002F2FE0">
        <w:t xml:space="preserve">k will represent a saving of £27k over the three year period. </w:t>
      </w:r>
      <w:r w:rsidR="007025C0">
        <w:t xml:space="preserve">The </w:t>
      </w:r>
      <w:r w:rsidR="00A23763">
        <w:t xml:space="preserve">majority of the budget is funded by the Dedicated Schools Grant (DSG) so any savings will be repurposed back into </w:t>
      </w:r>
      <w:r w:rsidR="00D27A56">
        <w:t xml:space="preserve">other DSG activities. This </w:t>
      </w:r>
      <w:r w:rsidR="00BD3E2C">
        <w:t>provides value for money of the options assessed, and avoids</w:t>
      </w:r>
      <w:r w:rsidR="0091232F">
        <w:t xml:space="preserve"> the</w:t>
      </w:r>
      <w:r w:rsidR="00BD3E2C">
        <w:t xml:space="preserve"> </w:t>
      </w:r>
      <w:r w:rsidR="00E3552B">
        <w:t xml:space="preserve">significant costs of change and risks associated with the change of a complex and </w:t>
      </w:r>
      <w:r w:rsidR="0091232F">
        <w:t xml:space="preserve">multi-faceted IT system. </w:t>
      </w:r>
    </w:p>
    <w:p w14:paraId="1885DFC2" w14:textId="77777777" w:rsidR="00E94CE0" w:rsidRDefault="00E94CE0" w:rsidP="00561FBD"/>
    <w:p w14:paraId="5DD0C332" w14:textId="378B2303" w:rsidR="00F63BD5" w:rsidRDefault="00E94CE0" w:rsidP="00561FBD">
      <w:r>
        <w:t xml:space="preserve">Total value </w:t>
      </w:r>
      <w:r w:rsidR="00EE7A5B">
        <w:t>of the contract</w:t>
      </w:r>
      <w:r>
        <w:t xml:space="preserve">, including the optional extension of </w:t>
      </w:r>
      <w:r w:rsidR="00EE7A5B">
        <w:t>two separate years, is shown in the table below.</w:t>
      </w:r>
      <w:r w:rsidR="0091232F">
        <w:t xml:space="preserve"> </w:t>
      </w:r>
      <w:r w:rsidR="00A72226">
        <w:t xml:space="preserve"> </w:t>
      </w:r>
    </w:p>
    <w:p w14:paraId="69F860F2" w14:textId="77777777" w:rsidR="00F63BD5" w:rsidRDefault="00F63BD5" w:rsidP="00561FBD"/>
    <w:tbl>
      <w:tblPr>
        <w:tblW w:w="5174" w:type="pct"/>
        <w:tblInd w:w="-289" w:type="dxa"/>
        <w:tblLook w:val="04A0" w:firstRow="1" w:lastRow="0" w:firstColumn="1" w:lastColumn="0" w:noHBand="0" w:noVBand="1"/>
      </w:tblPr>
      <w:tblGrid>
        <w:gridCol w:w="1938"/>
        <w:gridCol w:w="886"/>
        <w:gridCol w:w="886"/>
        <w:gridCol w:w="886"/>
        <w:gridCol w:w="886"/>
        <w:gridCol w:w="890"/>
        <w:gridCol w:w="953"/>
        <w:gridCol w:w="1263"/>
      </w:tblGrid>
      <w:tr w:rsidR="00EE7A5B" w:rsidRPr="00BB1E71" w14:paraId="65571B39" w14:textId="77777777" w:rsidTr="00A541C5">
        <w:trPr>
          <w:trHeight w:val="290"/>
        </w:trPr>
        <w:tc>
          <w:tcPr>
            <w:tcW w:w="11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4BB2771" w14:textId="77777777" w:rsidR="00F63BD5" w:rsidRPr="00BB1E71" w:rsidRDefault="00F63BD5" w:rsidP="00086386">
            <w:pPr>
              <w:rPr>
                <w:rFonts w:ascii="Calibri" w:hAnsi="Calibri" w:cs="Calibri"/>
                <w:b/>
                <w:bCs/>
                <w:sz w:val="22"/>
                <w:szCs w:val="22"/>
                <w:lang w:eastAsia="en-GB"/>
              </w:rPr>
            </w:pPr>
            <w:r w:rsidRPr="00BB1E71">
              <w:rPr>
                <w:rFonts w:ascii="Calibri" w:hAnsi="Calibri" w:cs="Calibri"/>
                <w:b/>
                <w:bCs/>
                <w:sz w:val="22"/>
                <w:szCs w:val="22"/>
                <w:lang w:eastAsia="en-GB"/>
              </w:rPr>
              <w:t>Proposed Contract</w:t>
            </w:r>
          </w:p>
        </w:tc>
        <w:tc>
          <w:tcPr>
            <w:tcW w:w="516" w:type="pct"/>
            <w:tcBorders>
              <w:top w:val="single" w:sz="4" w:space="0" w:color="auto"/>
              <w:left w:val="nil"/>
              <w:bottom w:val="single" w:sz="4" w:space="0" w:color="auto"/>
              <w:right w:val="single" w:sz="4" w:space="0" w:color="auto"/>
            </w:tcBorders>
            <w:shd w:val="clear" w:color="000000" w:fill="D9D9D9"/>
            <w:noWrap/>
            <w:vAlign w:val="bottom"/>
            <w:hideMark/>
          </w:tcPr>
          <w:p w14:paraId="4AE4FD55" w14:textId="77777777" w:rsidR="00F63BD5" w:rsidRPr="00BB1E71" w:rsidRDefault="00F63BD5" w:rsidP="00086386">
            <w:pPr>
              <w:jc w:val="center"/>
              <w:rPr>
                <w:rFonts w:ascii="Calibri" w:hAnsi="Calibri" w:cs="Calibri"/>
                <w:b/>
                <w:bCs/>
                <w:sz w:val="22"/>
                <w:szCs w:val="22"/>
                <w:lang w:eastAsia="en-GB"/>
              </w:rPr>
            </w:pPr>
            <w:r w:rsidRPr="00BB1E71">
              <w:rPr>
                <w:rFonts w:ascii="Calibri" w:hAnsi="Calibri" w:cs="Calibri"/>
                <w:b/>
                <w:bCs/>
                <w:sz w:val="22"/>
                <w:szCs w:val="22"/>
                <w:lang w:eastAsia="en-GB"/>
              </w:rPr>
              <w:t>2024-5</w:t>
            </w:r>
          </w:p>
        </w:tc>
        <w:tc>
          <w:tcPr>
            <w:tcW w:w="516" w:type="pct"/>
            <w:tcBorders>
              <w:top w:val="single" w:sz="4" w:space="0" w:color="auto"/>
              <w:left w:val="nil"/>
              <w:bottom w:val="single" w:sz="4" w:space="0" w:color="auto"/>
              <w:right w:val="single" w:sz="4" w:space="0" w:color="auto"/>
            </w:tcBorders>
            <w:shd w:val="clear" w:color="000000" w:fill="D9D9D9"/>
            <w:noWrap/>
            <w:vAlign w:val="bottom"/>
            <w:hideMark/>
          </w:tcPr>
          <w:p w14:paraId="4DD77348" w14:textId="77777777" w:rsidR="00F63BD5" w:rsidRPr="00BB1E71" w:rsidRDefault="00F63BD5" w:rsidP="00086386">
            <w:pPr>
              <w:jc w:val="center"/>
              <w:rPr>
                <w:rFonts w:ascii="Calibri" w:hAnsi="Calibri" w:cs="Calibri"/>
                <w:b/>
                <w:bCs/>
                <w:sz w:val="22"/>
                <w:szCs w:val="22"/>
                <w:lang w:eastAsia="en-GB"/>
              </w:rPr>
            </w:pPr>
            <w:r w:rsidRPr="00BB1E71">
              <w:rPr>
                <w:rFonts w:ascii="Calibri" w:hAnsi="Calibri" w:cs="Calibri"/>
                <w:b/>
                <w:bCs/>
                <w:sz w:val="22"/>
                <w:szCs w:val="22"/>
                <w:lang w:eastAsia="en-GB"/>
              </w:rPr>
              <w:t>2025-6</w:t>
            </w:r>
          </w:p>
        </w:tc>
        <w:tc>
          <w:tcPr>
            <w:tcW w:w="516" w:type="pct"/>
            <w:tcBorders>
              <w:top w:val="single" w:sz="4" w:space="0" w:color="auto"/>
              <w:left w:val="nil"/>
              <w:bottom w:val="single" w:sz="4" w:space="0" w:color="auto"/>
              <w:right w:val="single" w:sz="4" w:space="0" w:color="auto"/>
            </w:tcBorders>
            <w:shd w:val="clear" w:color="000000" w:fill="D9D9D9"/>
            <w:noWrap/>
            <w:vAlign w:val="bottom"/>
            <w:hideMark/>
          </w:tcPr>
          <w:p w14:paraId="5D6E5CFB" w14:textId="77777777" w:rsidR="00F63BD5" w:rsidRPr="00BB1E71" w:rsidRDefault="00F63BD5" w:rsidP="00086386">
            <w:pPr>
              <w:jc w:val="center"/>
              <w:rPr>
                <w:rFonts w:ascii="Calibri" w:hAnsi="Calibri" w:cs="Calibri"/>
                <w:b/>
                <w:bCs/>
                <w:sz w:val="22"/>
                <w:szCs w:val="22"/>
                <w:lang w:eastAsia="en-GB"/>
              </w:rPr>
            </w:pPr>
            <w:r w:rsidRPr="00BB1E71">
              <w:rPr>
                <w:rFonts w:ascii="Calibri" w:hAnsi="Calibri" w:cs="Calibri"/>
                <w:b/>
                <w:bCs/>
                <w:sz w:val="22"/>
                <w:szCs w:val="22"/>
                <w:lang w:eastAsia="en-GB"/>
              </w:rPr>
              <w:t>2026-7</w:t>
            </w:r>
          </w:p>
        </w:tc>
        <w:tc>
          <w:tcPr>
            <w:tcW w:w="516" w:type="pct"/>
            <w:tcBorders>
              <w:top w:val="single" w:sz="4" w:space="0" w:color="auto"/>
              <w:left w:val="nil"/>
              <w:bottom w:val="single" w:sz="4" w:space="0" w:color="auto"/>
              <w:right w:val="single" w:sz="4" w:space="0" w:color="auto"/>
            </w:tcBorders>
            <w:shd w:val="clear" w:color="000000" w:fill="D9D9D9"/>
            <w:vAlign w:val="bottom"/>
            <w:hideMark/>
          </w:tcPr>
          <w:p w14:paraId="6DF2027D" w14:textId="31F19117" w:rsidR="00F63BD5" w:rsidRPr="00BB1E71" w:rsidRDefault="00965E61" w:rsidP="00086386">
            <w:pPr>
              <w:rPr>
                <w:rFonts w:ascii="Calibri" w:hAnsi="Calibri" w:cs="Calibri"/>
                <w:b/>
                <w:bCs/>
                <w:sz w:val="22"/>
                <w:szCs w:val="22"/>
                <w:lang w:eastAsia="en-GB"/>
              </w:rPr>
            </w:pPr>
            <w:r>
              <w:rPr>
                <w:rFonts w:ascii="Calibri" w:hAnsi="Calibri" w:cs="Calibri"/>
                <w:b/>
                <w:bCs/>
                <w:sz w:val="22"/>
                <w:szCs w:val="22"/>
                <w:lang w:eastAsia="en-GB"/>
              </w:rPr>
              <w:t>3 year t</w:t>
            </w:r>
            <w:r w:rsidR="00F63BD5" w:rsidRPr="00BB1E71">
              <w:rPr>
                <w:rFonts w:ascii="Calibri" w:hAnsi="Calibri" w:cs="Calibri"/>
                <w:b/>
                <w:bCs/>
                <w:sz w:val="22"/>
                <w:szCs w:val="22"/>
                <w:lang w:eastAsia="en-GB"/>
              </w:rPr>
              <w:t>otal</w:t>
            </w:r>
          </w:p>
        </w:tc>
        <w:tc>
          <w:tcPr>
            <w:tcW w:w="518" w:type="pct"/>
            <w:tcBorders>
              <w:top w:val="single" w:sz="4" w:space="0" w:color="auto"/>
              <w:left w:val="nil"/>
              <w:bottom w:val="single" w:sz="4" w:space="0" w:color="auto"/>
              <w:right w:val="single" w:sz="4" w:space="0" w:color="auto"/>
            </w:tcBorders>
            <w:shd w:val="clear" w:color="000000" w:fill="D9D9D9"/>
            <w:noWrap/>
            <w:vAlign w:val="bottom"/>
            <w:hideMark/>
          </w:tcPr>
          <w:p w14:paraId="7A8A564A" w14:textId="77777777" w:rsidR="00965E61" w:rsidRDefault="00965E61" w:rsidP="00086386">
            <w:pPr>
              <w:jc w:val="center"/>
              <w:rPr>
                <w:rFonts w:ascii="Calibri" w:hAnsi="Calibri" w:cs="Calibri"/>
                <w:b/>
                <w:bCs/>
                <w:sz w:val="22"/>
                <w:szCs w:val="22"/>
                <w:lang w:eastAsia="en-GB"/>
              </w:rPr>
            </w:pPr>
            <w:r>
              <w:rPr>
                <w:rFonts w:ascii="Calibri" w:hAnsi="Calibri" w:cs="Calibri"/>
                <w:b/>
                <w:bCs/>
                <w:sz w:val="22"/>
                <w:szCs w:val="22"/>
                <w:lang w:eastAsia="en-GB"/>
              </w:rPr>
              <w:t>+1 year</w:t>
            </w:r>
          </w:p>
          <w:p w14:paraId="78567888" w14:textId="1B67DCB2" w:rsidR="00F63BD5" w:rsidRPr="00BB1E71" w:rsidRDefault="00F63BD5" w:rsidP="00086386">
            <w:pPr>
              <w:jc w:val="center"/>
              <w:rPr>
                <w:rFonts w:ascii="Calibri" w:hAnsi="Calibri" w:cs="Calibri"/>
                <w:b/>
                <w:bCs/>
                <w:sz w:val="22"/>
                <w:szCs w:val="22"/>
                <w:lang w:eastAsia="en-GB"/>
              </w:rPr>
            </w:pPr>
            <w:r w:rsidRPr="00BB1E71">
              <w:rPr>
                <w:rFonts w:ascii="Calibri" w:hAnsi="Calibri" w:cs="Calibri"/>
                <w:b/>
                <w:bCs/>
                <w:sz w:val="22"/>
                <w:szCs w:val="22"/>
                <w:lang w:eastAsia="en-GB"/>
              </w:rPr>
              <w:t>2027-8</w:t>
            </w:r>
          </w:p>
        </w:tc>
        <w:tc>
          <w:tcPr>
            <w:tcW w:w="555" w:type="pct"/>
            <w:tcBorders>
              <w:top w:val="single" w:sz="4" w:space="0" w:color="auto"/>
              <w:left w:val="nil"/>
              <w:bottom w:val="single" w:sz="4" w:space="0" w:color="auto"/>
              <w:right w:val="single" w:sz="4" w:space="0" w:color="auto"/>
            </w:tcBorders>
            <w:shd w:val="clear" w:color="000000" w:fill="D9D9D9"/>
            <w:noWrap/>
            <w:vAlign w:val="bottom"/>
            <w:hideMark/>
          </w:tcPr>
          <w:p w14:paraId="0715F3DF" w14:textId="77777777" w:rsidR="00965E61" w:rsidRDefault="00965E61" w:rsidP="00086386">
            <w:pPr>
              <w:jc w:val="center"/>
              <w:rPr>
                <w:rFonts w:ascii="Calibri" w:hAnsi="Calibri" w:cs="Calibri"/>
                <w:b/>
                <w:bCs/>
                <w:sz w:val="22"/>
                <w:szCs w:val="22"/>
                <w:lang w:eastAsia="en-GB"/>
              </w:rPr>
            </w:pPr>
            <w:r>
              <w:rPr>
                <w:rFonts w:ascii="Calibri" w:hAnsi="Calibri" w:cs="Calibri"/>
                <w:b/>
                <w:bCs/>
                <w:sz w:val="22"/>
                <w:szCs w:val="22"/>
                <w:lang w:eastAsia="en-GB"/>
              </w:rPr>
              <w:t xml:space="preserve">+1 Year </w:t>
            </w:r>
          </w:p>
          <w:p w14:paraId="285AF4D1" w14:textId="2044B665" w:rsidR="00F63BD5" w:rsidRPr="00BB1E71" w:rsidRDefault="00F63BD5" w:rsidP="00086386">
            <w:pPr>
              <w:jc w:val="center"/>
              <w:rPr>
                <w:rFonts w:ascii="Calibri" w:hAnsi="Calibri" w:cs="Calibri"/>
                <w:b/>
                <w:bCs/>
                <w:sz w:val="22"/>
                <w:szCs w:val="22"/>
                <w:lang w:eastAsia="en-GB"/>
              </w:rPr>
            </w:pPr>
            <w:r w:rsidRPr="00BB1E71">
              <w:rPr>
                <w:rFonts w:ascii="Calibri" w:hAnsi="Calibri" w:cs="Calibri"/>
                <w:b/>
                <w:bCs/>
                <w:sz w:val="22"/>
                <w:szCs w:val="22"/>
                <w:lang w:eastAsia="en-GB"/>
              </w:rPr>
              <w:t>2028-29</w:t>
            </w:r>
          </w:p>
        </w:tc>
        <w:tc>
          <w:tcPr>
            <w:tcW w:w="735" w:type="pct"/>
            <w:tcBorders>
              <w:top w:val="single" w:sz="4" w:space="0" w:color="auto"/>
              <w:left w:val="nil"/>
              <w:bottom w:val="single" w:sz="4" w:space="0" w:color="auto"/>
              <w:right w:val="single" w:sz="4" w:space="0" w:color="auto"/>
            </w:tcBorders>
            <w:shd w:val="clear" w:color="000000" w:fill="D9D9D9"/>
            <w:noWrap/>
            <w:vAlign w:val="bottom"/>
            <w:hideMark/>
          </w:tcPr>
          <w:p w14:paraId="446EAFB2" w14:textId="5A70974D" w:rsidR="00F63BD5" w:rsidRPr="00BB1E71" w:rsidRDefault="00965E61" w:rsidP="00086386">
            <w:pPr>
              <w:jc w:val="center"/>
              <w:rPr>
                <w:rFonts w:ascii="Calibri" w:hAnsi="Calibri" w:cs="Calibri"/>
                <w:b/>
                <w:bCs/>
                <w:sz w:val="22"/>
                <w:szCs w:val="22"/>
                <w:lang w:eastAsia="en-GB"/>
              </w:rPr>
            </w:pPr>
            <w:r>
              <w:rPr>
                <w:rFonts w:ascii="Calibri" w:hAnsi="Calibri" w:cs="Calibri"/>
                <w:b/>
                <w:bCs/>
                <w:sz w:val="22"/>
                <w:szCs w:val="22"/>
                <w:lang w:eastAsia="en-GB"/>
              </w:rPr>
              <w:t>5 year t</w:t>
            </w:r>
            <w:r w:rsidR="00F63BD5" w:rsidRPr="00BB1E71">
              <w:rPr>
                <w:rFonts w:ascii="Calibri" w:hAnsi="Calibri" w:cs="Calibri"/>
                <w:b/>
                <w:bCs/>
                <w:sz w:val="22"/>
                <w:szCs w:val="22"/>
                <w:lang w:eastAsia="en-GB"/>
              </w:rPr>
              <w:t>otal</w:t>
            </w:r>
          </w:p>
        </w:tc>
      </w:tr>
      <w:tr w:rsidR="00EE7A5B" w:rsidRPr="00BB1E71" w14:paraId="0BD79F79" w14:textId="77777777" w:rsidTr="00A541C5">
        <w:trPr>
          <w:trHeight w:val="29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59BC588F" w14:textId="3731844A" w:rsidR="00ED2541" w:rsidRPr="00BB1E71" w:rsidRDefault="00ED2541" w:rsidP="00ED2541">
            <w:pPr>
              <w:rPr>
                <w:rFonts w:ascii="Calibri" w:hAnsi="Calibri" w:cs="Calibri"/>
                <w:b/>
                <w:bCs/>
                <w:color w:val="000000"/>
                <w:sz w:val="22"/>
                <w:szCs w:val="22"/>
                <w:lang w:eastAsia="en-GB"/>
              </w:rPr>
            </w:pPr>
            <w:r w:rsidRPr="00BB1E71">
              <w:rPr>
                <w:rFonts w:ascii="Calibri" w:hAnsi="Calibri" w:cs="Calibri"/>
                <w:b/>
                <w:bCs/>
                <w:color w:val="000000"/>
                <w:sz w:val="22"/>
                <w:szCs w:val="22"/>
                <w:lang w:eastAsia="en-GB"/>
              </w:rPr>
              <w:t xml:space="preserve">Annual cost </w:t>
            </w:r>
          </w:p>
        </w:tc>
        <w:tc>
          <w:tcPr>
            <w:tcW w:w="516" w:type="pct"/>
            <w:tcBorders>
              <w:top w:val="nil"/>
              <w:left w:val="nil"/>
              <w:bottom w:val="single" w:sz="4" w:space="0" w:color="auto"/>
              <w:right w:val="single" w:sz="4" w:space="0" w:color="auto"/>
            </w:tcBorders>
            <w:shd w:val="clear" w:color="auto" w:fill="auto"/>
            <w:noWrap/>
            <w:vAlign w:val="bottom"/>
            <w:hideMark/>
          </w:tcPr>
          <w:p w14:paraId="299E53A5"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166000</w:t>
            </w:r>
          </w:p>
        </w:tc>
        <w:tc>
          <w:tcPr>
            <w:tcW w:w="516" w:type="pct"/>
            <w:tcBorders>
              <w:top w:val="nil"/>
              <w:left w:val="nil"/>
              <w:bottom w:val="single" w:sz="4" w:space="0" w:color="auto"/>
              <w:right w:val="single" w:sz="4" w:space="0" w:color="auto"/>
            </w:tcBorders>
            <w:shd w:val="clear" w:color="auto" w:fill="auto"/>
            <w:noWrap/>
            <w:vAlign w:val="bottom"/>
            <w:hideMark/>
          </w:tcPr>
          <w:p w14:paraId="39FBB7C9"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174300</w:t>
            </w:r>
          </w:p>
        </w:tc>
        <w:tc>
          <w:tcPr>
            <w:tcW w:w="516" w:type="pct"/>
            <w:tcBorders>
              <w:top w:val="nil"/>
              <w:left w:val="nil"/>
              <w:bottom w:val="single" w:sz="4" w:space="0" w:color="auto"/>
              <w:right w:val="single" w:sz="4" w:space="0" w:color="auto"/>
            </w:tcBorders>
            <w:shd w:val="clear" w:color="auto" w:fill="auto"/>
            <w:noWrap/>
            <w:vAlign w:val="bottom"/>
            <w:hideMark/>
          </w:tcPr>
          <w:p w14:paraId="08C66181"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183015</w:t>
            </w:r>
          </w:p>
        </w:tc>
        <w:tc>
          <w:tcPr>
            <w:tcW w:w="516" w:type="pct"/>
            <w:tcBorders>
              <w:top w:val="nil"/>
              <w:left w:val="nil"/>
              <w:bottom w:val="single" w:sz="4" w:space="0" w:color="auto"/>
              <w:right w:val="single" w:sz="4" w:space="0" w:color="auto"/>
            </w:tcBorders>
            <w:shd w:val="clear" w:color="auto" w:fill="auto"/>
            <w:vAlign w:val="bottom"/>
            <w:hideMark/>
          </w:tcPr>
          <w:p w14:paraId="3D975047" w14:textId="77777777" w:rsidR="00ED2541" w:rsidRPr="00BB1E71" w:rsidRDefault="00ED2541" w:rsidP="00ED2541">
            <w:pPr>
              <w:jc w:val="right"/>
              <w:rPr>
                <w:rFonts w:ascii="Calibri" w:hAnsi="Calibri" w:cs="Calibri"/>
                <w:b/>
                <w:bCs/>
                <w:color w:val="000000"/>
                <w:sz w:val="22"/>
                <w:szCs w:val="22"/>
                <w:lang w:eastAsia="en-GB"/>
              </w:rPr>
            </w:pPr>
            <w:r w:rsidRPr="00BB1E71">
              <w:rPr>
                <w:rFonts w:ascii="Calibri" w:hAnsi="Calibri" w:cs="Calibri"/>
                <w:b/>
                <w:bCs/>
                <w:color w:val="000000"/>
                <w:sz w:val="22"/>
                <w:szCs w:val="22"/>
                <w:lang w:eastAsia="en-GB"/>
              </w:rPr>
              <w:t>523315</w:t>
            </w:r>
          </w:p>
        </w:tc>
        <w:tc>
          <w:tcPr>
            <w:tcW w:w="518" w:type="pct"/>
            <w:tcBorders>
              <w:top w:val="nil"/>
              <w:left w:val="nil"/>
              <w:bottom w:val="single" w:sz="4" w:space="0" w:color="auto"/>
              <w:right w:val="single" w:sz="4" w:space="0" w:color="auto"/>
            </w:tcBorders>
            <w:shd w:val="clear" w:color="auto" w:fill="auto"/>
            <w:noWrap/>
            <w:vAlign w:val="bottom"/>
          </w:tcPr>
          <w:p w14:paraId="70EF9965" w14:textId="214584B4" w:rsidR="00ED2541" w:rsidRPr="00BB1E71" w:rsidRDefault="00ED2541" w:rsidP="00ED2541">
            <w:pPr>
              <w:rPr>
                <w:rFonts w:ascii="Calibri" w:hAnsi="Calibri" w:cs="Calibri"/>
                <w:color w:val="000000"/>
                <w:sz w:val="22"/>
                <w:szCs w:val="22"/>
                <w:lang w:eastAsia="en-GB"/>
              </w:rPr>
            </w:pPr>
          </w:p>
        </w:tc>
        <w:tc>
          <w:tcPr>
            <w:tcW w:w="555" w:type="pct"/>
            <w:tcBorders>
              <w:top w:val="nil"/>
              <w:left w:val="nil"/>
              <w:bottom w:val="single" w:sz="4" w:space="0" w:color="auto"/>
              <w:right w:val="single" w:sz="4" w:space="0" w:color="auto"/>
            </w:tcBorders>
            <w:shd w:val="clear" w:color="auto" w:fill="auto"/>
            <w:noWrap/>
            <w:vAlign w:val="bottom"/>
          </w:tcPr>
          <w:p w14:paraId="32DC9D38" w14:textId="3E5D6DAE" w:rsidR="00ED2541" w:rsidRPr="00BB1E71" w:rsidRDefault="00ED2541" w:rsidP="00ED2541">
            <w:pPr>
              <w:rPr>
                <w:rFonts w:ascii="Calibri" w:hAnsi="Calibri" w:cs="Calibri"/>
                <w:color w:val="000000"/>
                <w:sz w:val="22"/>
                <w:szCs w:val="22"/>
                <w:lang w:eastAsia="en-GB"/>
              </w:rPr>
            </w:pPr>
          </w:p>
        </w:tc>
        <w:tc>
          <w:tcPr>
            <w:tcW w:w="735" w:type="pct"/>
            <w:tcBorders>
              <w:top w:val="nil"/>
              <w:left w:val="nil"/>
              <w:bottom w:val="single" w:sz="4" w:space="0" w:color="auto"/>
              <w:right w:val="single" w:sz="4" w:space="0" w:color="auto"/>
            </w:tcBorders>
            <w:shd w:val="clear" w:color="auto" w:fill="auto"/>
            <w:noWrap/>
            <w:vAlign w:val="bottom"/>
          </w:tcPr>
          <w:p w14:paraId="54884BFA" w14:textId="009DBCB7" w:rsidR="00ED2541" w:rsidRPr="00BB1E71" w:rsidRDefault="00ED2541" w:rsidP="00ED2541">
            <w:pPr>
              <w:rPr>
                <w:rFonts w:ascii="Calibri" w:hAnsi="Calibri" w:cs="Calibri"/>
                <w:color w:val="000000"/>
                <w:sz w:val="22"/>
                <w:szCs w:val="22"/>
                <w:lang w:eastAsia="en-GB"/>
              </w:rPr>
            </w:pPr>
          </w:p>
        </w:tc>
      </w:tr>
      <w:tr w:rsidR="00EE7A5B" w:rsidRPr="00BB1E71" w14:paraId="0DD85A83" w14:textId="77777777" w:rsidTr="00A541C5">
        <w:trPr>
          <w:trHeight w:val="29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6A0D9CC7" w14:textId="724A32C7" w:rsidR="00ED2541" w:rsidRPr="00BB1E71" w:rsidRDefault="00ED2541" w:rsidP="00ED2541">
            <w:pPr>
              <w:rPr>
                <w:rFonts w:ascii="Calibri" w:hAnsi="Calibri" w:cs="Calibri"/>
                <w:sz w:val="22"/>
                <w:szCs w:val="22"/>
                <w:lang w:eastAsia="en-GB"/>
              </w:rPr>
            </w:pPr>
            <w:r>
              <w:rPr>
                <w:rFonts w:ascii="Calibri" w:hAnsi="Calibri" w:cs="Calibri"/>
                <w:sz w:val="22"/>
                <w:szCs w:val="22"/>
                <w:lang w:eastAsia="en-GB"/>
              </w:rPr>
              <w:t>Budget</w:t>
            </w:r>
          </w:p>
        </w:tc>
        <w:tc>
          <w:tcPr>
            <w:tcW w:w="516" w:type="pct"/>
            <w:tcBorders>
              <w:top w:val="nil"/>
              <w:left w:val="nil"/>
              <w:bottom w:val="single" w:sz="4" w:space="0" w:color="auto"/>
              <w:right w:val="single" w:sz="4" w:space="0" w:color="auto"/>
            </w:tcBorders>
            <w:shd w:val="clear" w:color="auto" w:fill="auto"/>
            <w:noWrap/>
            <w:vAlign w:val="bottom"/>
            <w:hideMark/>
          </w:tcPr>
          <w:p w14:paraId="2744647F"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185000</w:t>
            </w:r>
          </w:p>
        </w:tc>
        <w:tc>
          <w:tcPr>
            <w:tcW w:w="516" w:type="pct"/>
            <w:tcBorders>
              <w:top w:val="nil"/>
              <w:left w:val="nil"/>
              <w:bottom w:val="single" w:sz="4" w:space="0" w:color="auto"/>
              <w:right w:val="single" w:sz="4" w:space="0" w:color="auto"/>
            </w:tcBorders>
            <w:shd w:val="clear" w:color="auto" w:fill="auto"/>
            <w:noWrap/>
            <w:vAlign w:val="bottom"/>
            <w:hideMark/>
          </w:tcPr>
          <w:p w14:paraId="05D02CB0"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185000</w:t>
            </w:r>
          </w:p>
        </w:tc>
        <w:tc>
          <w:tcPr>
            <w:tcW w:w="516" w:type="pct"/>
            <w:tcBorders>
              <w:top w:val="nil"/>
              <w:left w:val="nil"/>
              <w:bottom w:val="single" w:sz="4" w:space="0" w:color="auto"/>
              <w:right w:val="single" w:sz="4" w:space="0" w:color="auto"/>
            </w:tcBorders>
            <w:shd w:val="clear" w:color="auto" w:fill="auto"/>
            <w:noWrap/>
            <w:vAlign w:val="bottom"/>
            <w:hideMark/>
          </w:tcPr>
          <w:p w14:paraId="1E4F1988" w14:textId="77777777" w:rsidR="00ED2541" w:rsidRPr="00BB1E71" w:rsidRDefault="00ED2541" w:rsidP="00ED2541">
            <w:pPr>
              <w:jc w:val="right"/>
              <w:rPr>
                <w:rFonts w:ascii="Calibri" w:hAnsi="Calibri" w:cs="Calibri"/>
                <w:color w:val="000000"/>
                <w:sz w:val="22"/>
                <w:szCs w:val="22"/>
                <w:lang w:eastAsia="en-GB"/>
              </w:rPr>
            </w:pPr>
            <w:r w:rsidRPr="00BB1E71">
              <w:rPr>
                <w:rFonts w:ascii="Calibri" w:hAnsi="Calibri" w:cs="Calibri"/>
                <w:color w:val="000000"/>
                <w:sz w:val="22"/>
                <w:szCs w:val="22"/>
                <w:lang w:eastAsia="en-GB"/>
              </w:rPr>
              <w:t>185000</w:t>
            </w:r>
          </w:p>
        </w:tc>
        <w:tc>
          <w:tcPr>
            <w:tcW w:w="516" w:type="pct"/>
            <w:tcBorders>
              <w:top w:val="nil"/>
              <w:left w:val="nil"/>
              <w:bottom w:val="single" w:sz="4" w:space="0" w:color="auto"/>
              <w:right w:val="single" w:sz="4" w:space="0" w:color="auto"/>
            </w:tcBorders>
            <w:shd w:val="clear" w:color="auto" w:fill="auto"/>
            <w:vAlign w:val="bottom"/>
            <w:hideMark/>
          </w:tcPr>
          <w:p w14:paraId="5B9335B8" w14:textId="77777777" w:rsidR="00ED2541" w:rsidRPr="00E832A7" w:rsidRDefault="00ED2541" w:rsidP="00ED2541">
            <w:pPr>
              <w:jc w:val="right"/>
              <w:rPr>
                <w:rFonts w:ascii="Calibri" w:hAnsi="Calibri" w:cs="Calibri"/>
                <w:b/>
                <w:bCs/>
                <w:color w:val="000000"/>
                <w:sz w:val="22"/>
                <w:szCs w:val="22"/>
                <w:lang w:eastAsia="en-GB"/>
              </w:rPr>
            </w:pPr>
            <w:r w:rsidRPr="00E832A7">
              <w:rPr>
                <w:rFonts w:ascii="Calibri" w:hAnsi="Calibri" w:cs="Calibri"/>
                <w:b/>
                <w:bCs/>
                <w:color w:val="000000"/>
                <w:sz w:val="22"/>
                <w:szCs w:val="22"/>
                <w:lang w:eastAsia="en-GB"/>
              </w:rPr>
              <w:t>555000</w:t>
            </w:r>
          </w:p>
        </w:tc>
        <w:tc>
          <w:tcPr>
            <w:tcW w:w="518" w:type="pct"/>
            <w:tcBorders>
              <w:top w:val="nil"/>
              <w:left w:val="nil"/>
              <w:bottom w:val="single" w:sz="4" w:space="0" w:color="auto"/>
              <w:right w:val="single" w:sz="4" w:space="0" w:color="auto"/>
            </w:tcBorders>
            <w:shd w:val="clear" w:color="auto" w:fill="auto"/>
            <w:noWrap/>
            <w:vAlign w:val="bottom"/>
            <w:hideMark/>
          </w:tcPr>
          <w:p w14:paraId="3980C057" w14:textId="77777777" w:rsidR="00ED2541" w:rsidRPr="00BB1E71" w:rsidRDefault="00ED2541" w:rsidP="00ED2541">
            <w:pPr>
              <w:rPr>
                <w:rFonts w:ascii="Calibri" w:hAnsi="Calibri" w:cs="Calibri"/>
                <w:color w:val="000000"/>
                <w:sz w:val="22"/>
                <w:szCs w:val="22"/>
                <w:lang w:eastAsia="en-GB"/>
              </w:rPr>
            </w:pPr>
            <w:r w:rsidRPr="00BB1E71">
              <w:rPr>
                <w:rFonts w:ascii="Calibri" w:hAnsi="Calibri" w:cs="Calibri"/>
                <w:color w:val="000000"/>
                <w:sz w:val="22"/>
                <w:szCs w:val="22"/>
                <w:lang w:eastAsia="en-GB"/>
              </w:rPr>
              <w:t> </w:t>
            </w:r>
          </w:p>
        </w:tc>
        <w:tc>
          <w:tcPr>
            <w:tcW w:w="555" w:type="pct"/>
            <w:tcBorders>
              <w:top w:val="nil"/>
              <w:left w:val="nil"/>
              <w:bottom w:val="single" w:sz="4" w:space="0" w:color="auto"/>
              <w:right w:val="single" w:sz="4" w:space="0" w:color="auto"/>
            </w:tcBorders>
            <w:shd w:val="clear" w:color="auto" w:fill="auto"/>
            <w:noWrap/>
            <w:vAlign w:val="bottom"/>
            <w:hideMark/>
          </w:tcPr>
          <w:p w14:paraId="1B5FA40C" w14:textId="77777777" w:rsidR="00ED2541" w:rsidRPr="00BB1E71" w:rsidRDefault="00ED2541" w:rsidP="00ED2541">
            <w:pPr>
              <w:rPr>
                <w:rFonts w:ascii="Calibri" w:hAnsi="Calibri" w:cs="Calibri"/>
                <w:color w:val="000000"/>
                <w:sz w:val="22"/>
                <w:szCs w:val="22"/>
                <w:lang w:eastAsia="en-GB"/>
              </w:rPr>
            </w:pPr>
            <w:r w:rsidRPr="00BB1E71">
              <w:rPr>
                <w:rFonts w:ascii="Calibri" w:hAnsi="Calibri" w:cs="Calibri"/>
                <w:color w:val="000000"/>
                <w:sz w:val="22"/>
                <w:szCs w:val="22"/>
                <w:lang w:eastAsia="en-GB"/>
              </w:rPr>
              <w:t> </w:t>
            </w:r>
          </w:p>
        </w:tc>
        <w:tc>
          <w:tcPr>
            <w:tcW w:w="735" w:type="pct"/>
            <w:tcBorders>
              <w:top w:val="nil"/>
              <w:left w:val="nil"/>
              <w:bottom w:val="single" w:sz="4" w:space="0" w:color="auto"/>
              <w:right w:val="single" w:sz="4" w:space="0" w:color="auto"/>
            </w:tcBorders>
            <w:shd w:val="clear" w:color="auto" w:fill="auto"/>
            <w:noWrap/>
            <w:vAlign w:val="bottom"/>
            <w:hideMark/>
          </w:tcPr>
          <w:p w14:paraId="3F251D0D" w14:textId="77777777" w:rsidR="00ED2541" w:rsidRPr="00BB1E71" w:rsidRDefault="00ED2541" w:rsidP="00ED2541">
            <w:pPr>
              <w:rPr>
                <w:rFonts w:ascii="Calibri" w:hAnsi="Calibri" w:cs="Calibri"/>
                <w:color w:val="000000"/>
                <w:sz w:val="22"/>
                <w:szCs w:val="22"/>
                <w:lang w:eastAsia="en-GB"/>
              </w:rPr>
            </w:pPr>
            <w:r w:rsidRPr="00BB1E71">
              <w:rPr>
                <w:rFonts w:ascii="Calibri" w:hAnsi="Calibri" w:cs="Calibri"/>
                <w:color w:val="000000"/>
                <w:sz w:val="22"/>
                <w:szCs w:val="22"/>
                <w:lang w:eastAsia="en-GB"/>
              </w:rPr>
              <w:t> </w:t>
            </w:r>
          </w:p>
        </w:tc>
      </w:tr>
      <w:tr w:rsidR="005E3026" w:rsidRPr="000577EC" w14:paraId="6732743E" w14:textId="77777777" w:rsidTr="00A541C5">
        <w:trPr>
          <w:trHeight w:val="29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27218D1B" w14:textId="245048B9" w:rsidR="005E3026" w:rsidRPr="000577EC" w:rsidRDefault="005E3026" w:rsidP="00086386">
            <w:pPr>
              <w:rPr>
                <w:rFonts w:ascii="Calibri" w:hAnsi="Calibri" w:cs="Calibri"/>
                <w:sz w:val="22"/>
                <w:szCs w:val="22"/>
                <w:lang w:eastAsia="en-GB"/>
              </w:rPr>
            </w:pPr>
            <w:r w:rsidRPr="000577EC">
              <w:rPr>
                <w:rFonts w:ascii="Calibri" w:hAnsi="Calibri" w:cs="Calibri"/>
                <w:sz w:val="22"/>
                <w:szCs w:val="22"/>
                <w:lang w:eastAsia="en-GB"/>
              </w:rPr>
              <w:t xml:space="preserve">Cost of new </w:t>
            </w:r>
            <w:proofErr w:type="spellStart"/>
            <w:r w:rsidRPr="000577EC">
              <w:rPr>
                <w:rFonts w:ascii="Calibri" w:hAnsi="Calibri" w:cs="Calibri"/>
                <w:sz w:val="22"/>
                <w:szCs w:val="22"/>
                <w:lang w:eastAsia="en-GB"/>
              </w:rPr>
              <w:t>Wonde</w:t>
            </w:r>
            <w:proofErr w:type="spellEnd"/>
            <w:r w:rsidRPr="000577EC">
              <w:rPr>
                <w:rFonts w:ascii="Calibri" w:hAnsi="Calibri" w:cs="Calibri"/>
                <w:sz w:val="22"/>
                <w:szCs w:val="22"/>
                <w:lang w:eastAsia="en-GB"/>
              </w:rPr>
              <w:t xml:space="preserve"> B2B software for school data transfer at 50% </w:t>
            </w:r>
            <w:r w:rsidR="00A541C5">
              <w:rPr>
                <w:rFonts w:ascii="Calibri" w:hAnsi="Calibri" w:cs="Calibri"/>
                <w:sz w:val="22"/>
                <w:szCs w:val="22"/>
                <w:lang w:eastAsia="en-GB"/>
              </w:rPr>
              <w:t>discount</w:t>
            </w:r>
          </w:p>
        </w:tc>
        <w:tc>
          <w:tcPr>
            <w:tcW w:w="516" w:type="pct"/>
            <w:tcBorders>
              <w:top w:val="nil"/>
              <w:left w:val="nil"/>
              <w:bottom w:val="single" w:sz="4" w:space="0" w:color="auto"/>
              <w:right w:val="single" w:sz="4" w:space="0" w:color="auto"/>
            </w:tcBorders>
            <w:shd w:val="clear" w:color="auto" w:fill="auto"/>
            <w:noWrap/>
            <w:vAlign w:val="bottom"/>
            <w:hideMark/>
          </w:tcPr>
          <w:p w14:paraId="4D2F0133"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1500</w:t>
            </w:r>
          </w:p>
        </w:tc>
        <w:tc>
          <w:tcPr>
            <w:tcW w:w="516" w:type="pct"/>
            <w:tcBorders>
              <w:top w:val="nil"/>
              <w:left w:val="nil"/>
              <w:bottom w:val="single" w:sz="4" w:space="0" w:color="auto"/>
              <w:right w:val="single" w:sz="4" w:space="0" w:color="auto"/>
            </w:tcBorders>
            <w:shd w:val="clear" w:color="auto" w:fill="auto"/>
            <w:noWrap/>
            <w:vAlign w:val="bottom"/>
            <w:hideMark/>
          </w:tcPr>
          <w:p w14:paraId="1F4DEACE"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1575</w:t>
            </w:r>
          </w:p>
        </w:tc>
        <w:tc>
          <w:tcPr>
            <w:tcW w:w="516" w:type="pct"/>
            <w:tcBorders>
              <w:top w:val="nil"/>
              <w:left w:val="nil"/>
              <w:bottom w:val="single" w:sz="4" w:space="0" w:color="auto"/>
              <w:right w:val="single" w:sz="4" w:space="0" w:color="auto"/>
            </w:tcBorders>
            <w:shd w:val="clear" w:color="auto" w:fill="auto"/>
            <w:noWrap/>
            <w:vAlign w:val="bottom"/>
            <w:hideMark/>
          </w:tcPr>
          <w:p w14:paraId="0B359C2F"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1654</w:t>
            </w:r>
          </w:p>
        </w:tc>
        <w:tc>
          <w:tcPr>
            <w:tcW w:w="516" w:type="pct"/>
            <w:tcBorders>
              <w:top w:val="nil"/>
              <w:left w:val="nil"/>
              <w:bottom w:val="single" w:sz="4" w:space="0" w:color="auto"/>
              <w:right w:val="single" w:sz="4" w:space="0" w:color="auto"/>
            </w:tcBorders>
            <w:shd w:val="clear" w:color="auto" w:fill="auto"/>
            <w:vAlign w:val="bottom"/>
            <w:hideMark/>
          </w:tcPr>
          <w:p w14:paraId="22B56528" w14:textId="77777777" w:rsidR="005E3026" w:rsidRPr="000577EC" w:rsidRDefault="005E3026" w:rsidP="00086386">
            <w:pPr>
              <w:jc w:val="right"/>
              <w:rPr>
                <w:rFonts w:ascii="Calibri" w:hAnsi="Calibri" w:cs="Calibri"/>
                <w:b/>
                <w:bCs/>
                <w:color w:val="000000"/>
                <w:sz w:val="22"/>
                <w:szCs w:val="22"/>
                <w:lang w:eastAsia="en-GB"/>
              </w:rPr>
            </w:pPr>
            <w:r w:rsidRPr="000577EC">
              <w:rPr>
                <w:rFonts w:ascii="Calibri" w:hAnsi="Calibri" w:cs="Calibri"/>
                <w:b/>
                <w:bCs/>
                <w:color w:val="000000"/>
                <w:sz w:val="22"/>
                <w:szCs w:val="22"/>
                <w:lang w:eastAsia="en-GB"/>
              </w:rPr>
              <w:t>4729</w:t>
            </w:r>
          </w:p>
        </w:tc>
        <w:tc>
          <w:tcPr>
            <w:tcW w:w="518" w:type="pct"/>
            <w:tcBorders>
              <w:top w:val="nil"/>
              <w:left w:val="nil"/>
              <w:bottom w:val="single" w:sz="4" w:space="0" w:color="auto"/>
              <w:right w:val="single" w:sz="4" w:space="0" w:color="auto"/>
            </w:tcBorders>
            <w:shd w:val="clear" w:color="auto" w:fill="auto"/>
            <w:noWrap/>
            <w:vAlign w:val="bottom"/>
            <w:hideMark/>
          </w:tcPr>
          <w:p w14:paraId="23F67E35"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c>
          <w:tcPr>
            <w:tcW w:w="555" w:type="pct"/>
            <w:tcBorders>
              <w:top w:val="nil"/>
              <w:left w:val="nil"/>
              <w:bottom w:val="single" w:sz="4" w:space="0" w:color="auto"/>
              <w:right w:val="single" w:sz="4" w:space="0" w:color="auto"/>
            </w:tcBorders>
            <w:shd w:val="clear" w:color="auto" w:fill="auto"/>
            <w:noWrap/>
            <w:vAlign w:val="bottom"/>
            <w:hideMark/>
          </w:tcPr>
          <w:p w14:paraId="42548674"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c>
          <w:tcPr>
            <w:tcW w:w="735" w:type="pct"/>
            <w:tcBorders>
              <w:top w:val="nil"/>
              <w:left w:val="nil"/>
              <w:bottom w:val="single" w:sz="4" w:space="0" w:color="auto"/>
              <w:right w:val="single" w:sz="4" w:space="0" w:color="auto"/>
            </w:tcBorders>
            <w:shd w:val="clear" w:color="auto" w:fill="auto"/>
            <w:noWrap/>
            <w:vAlign w:val="bottom"/>
            <w:hideMark/>
          </w:tcPr>
          <w:p w14:paraId="3FB6E9C1"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r>
      <w:tr w:rsidR="005E3026" w:rsidRPr="000577EC" w14:paraId="09D15024" w14:textId="77777777" w:rsidTr="00A541C5">
        <w:trPr>
          <w:trHeight w:val="29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15A25447" w14:textId="77777777" w:rsidR="005E3026" w:rsidRPr="000577EC" w:rsidRDefault="005E3026" w:rsidP="00086386">
            <w:pPr>
              <w:rPr>
                <w:rFonts w:ascii="Calibri" w:hAnsi="Calibri" w:cs="Calibri"/>
                <w:b/>
                <w:bCs/>
                <w:sz w:val="22"/>
                <w:szCs w:val="22"/>
                <w:lang w:eastAsia="en-GB"/>
              </w:rPr>
            </w:pPr>
            <w:r w:rsidRPr="000577EC">
              <w:rPr>
                <w:rFonts w:ascii="Calibri" w:hAnsi="Calibri" w:cs="Calibri"/>
                <w:b/>
                <w:bCs/>
                <w:sz w:val="22"/>
                <w:szCs w:val="22"/>
                <w:lang w:eastAsia="en-GB"/>
              </w:rPr>
              <w:t>Total contract value</w:t>
            </w:r>
          </w:p>
        </w:tc>
        <w:tc>
          <w:tcPr>
            <w:tcW w:w="516" w:type="pct"/>
            <w:tcBorders>
              <w:top w:val="nil"/>
              <w:left w:val="nil"/>
              <w:bottom w:val="single" w:sz="4" w:space="0" w:color="auto"/>
              <w:right w:val="single" w:sz="4" w:space="0" w:color="auto"/>
            </w:tcBorders>
            <w:shd w:val="clear" w:color="auto" w:fill="auto"/>
            <w:noWrap/>
            <w:vAlign w:val="bottom"/>
            <w:hideMark/>
          </w:tcPr>
          <w:p w14:paraId="0F87F4E6"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167500</w:t>
            </w:r>
          </w:p>
        </w:tc>
        <w:tc>
          <w:tcPr>
            <w:tcW w:w="516" w:type="pct"/>
            <w:tcBorders>
              <w:top w:val="nil"/>
              <w:left w:val="nil"/>
              <w:bottom w:val="single" w:sz="4" w:space="0" w:color="auto"/>
              <w:right w:val="single" w:sz="4" w:space="0" w:color="auto"/>
            </w:tcBorders>
            <w:shd w:val="clear" w:color="auto" w:fill="auto"/>
            <w:noWrap/>
            <w:vAlign w:val="bottom"/>
            <w:hideMark/>
          </w:tcPr>
          <w:p w14:paraId="6DCACB82"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175875</w:t>
            </w:r>
          </w:p>
        </w:tc>
        <w:tc>
          <w:tcPr>
            <w:tcW w:w="516" w:type="pct"/>
            <w:tcBorders>
              <w:top w:val="nil"/>
              <w:left w:val="nil"/>
              <w:bottom w:val="single" w:sz="4" w:space="0" w:color="auto"/>
              <w:right w:val="single" w:sz="4" w:space="0" w:color="auto"/>
            </w:tcBorders>
            <w:shd w:val="clear" w:color="auto" w:fill="auto"/>
            <w:noWrap/>
            <w:vAlign w:val="bottom"/>
            <w:hideMark/>
          </w:tcPr>
          <w:p w14:paraId="17EE1DA9"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184669</w:t>
            </w:r>
          </w:p>
        </w:tc>
        <w:tc>
          <w:tcPr>
            <w:tcW w:w="516" w:type="pct"/>
            <w:tcBorders>
              <w:top w:val="nil"/>
              <w:left w:val="nil"/>
              <w:bottom w:val="single" w:sz="4" w:space="0" w:color="auto"/>
              <w:right w:val="single" w:sz="4" w:space="0" w:color="auto"/>
            </w:tcBorders>
            <w:shd w:val="clear" w:color="auto" w:fill="auto"/>
            <w:vAlign w:val="bottom"/>
            <w:hideMark/>
          </w:tcPr>
          <w:p w14:paraId="24F4915F" w14:textId="77777777" w:rsidR="005E3026" w:rsidRPr="000577EC" w:rsidRDefault="005E3026" w:rsidP="00086386">
            <w:pPr>
              <w:jc w:val="right"/>
              <w:rPr>
                <w:rFonts w:ascii="Calibri" w:hAnsi="Calibri" w:cs="Calibri"/>
                <w:b/>
                <w:bCs/>
                <w:color w:val="000000"/>
                <w:sz w:val="22"/>
                <w:szCs w:val="22"/>
                <w:lang w:eastAsia="en-GB"/>
              </w:rPr>
            </w:pPr>
            <w:r w:rsidRPr="000577EC">
              <w:rPr>
                <w:rFonts w:ascii="Calibri" w:hAnsi="Calibri" w:cs="Calibri"/>
                <w:b/>
                <w:bCs/>
                <w:color w:val="000000"/>
                <w:sz w:val="22"/>
                <w:szCs w:val="22"/>
                <w:lang w:eastAsia="en-GB"/>
              </w:rPr>
              <w:t>528044</w:t>
            </w:r>
          </w:p>
        </w:tc>
        <w:tc>
          <w:tcPr>
            <w:tcW w:w="518" w:type="pct"/>
            <w:tcBorders>
              <w:top w:val="nil"/>
              <w:left w:val="nil"/>
              <w:bottom w:val="single" w:sz="4" w:space="0" w:color="auto"/>
              <w:right w:val="single" w:sz="4" w:space="0" w:color="auto"/>
            </w:tcBorders>
            <w:shd w:val="clear" w:color="auto" w:fill="auto"/>
            <w:noWrap/>
            <w:vAlign w:val="bottom"/>
            <w:hideMark/>
          </w:tcPr>
          <w:p w14:paraId="5579AD19" w14:textId="77777777" w:rsidR="005E3026" w:rsidRPr="000577EC" w:rsidRDefault="005E3026" w:rsidP="005E3026">
            <w:pPr>
              <w:rPr>
                <w:rFonts w:ascii="Calibri" w:hAnsi="Calibri" w:cs="Calibri"/>
                <w:color w:val="000000"/>
                <w:sz w:val="22"/>
                <w:szCs w:val="22"/>
                <w:lang w:eastAsia="en-GB"/>
              </w:rPr>
            </w:pPr>
            <w:r w:rsidRPr="000577EC">
              <w:rPr>
                <w:rFonts w:ascii="Calibri" w:hAnsi="Calibri" w:cs="Calibri"/>
                <w:color w:val="000000"/>
                <w:sz w:val="22"/>
                <w:szCs w:val="22"/>
                <w:lang w:eastAsia="en-GB"/>
              </w:rPr>
              <w:t>193902</w:t>
            </w:r>
          </w:p>
        </w:tc>
        <w:tc>
          <w:tcPr>
            <w:tcW w:w="555" w:type="pct"/>
            <w:tcBorders>
              <w:top w:val="nil"/>
              <w:left w:val="nil"/>
              <w:bottom w:val="single" w:sz="4" w:space="0" w:color="auto"/>
              <w:right w:val="single" w:sz="4" w:space="0" w:color="auto"/>
            </w:tcBorders>
            <w:shd w:val="clear" w:color="auto" w:fill="auto"/>
            <w:noWrap/>
            <w:vAlign w:val="bottom"/>
            <w:hideMark/>
          </w:tcPr>
          <w:p w14:paraId="37F26BC7" w14:textId="77777777" w:rsidR="005E3026" w:rsidRPr="000577EC" w:rsidRDefault="005E3026" w:rsidP="005E3026">
            <w:pPr>
              <w:rPr>
                <w:rFonts w:ascii="Calibri" w:hAnsi="Calibri" w:cs="Calibri"/>
                <w:color w:val="000000"/>
                <w:sz w:val="22"/>
                <w:szCs w:val="22"/>
                <w:lang w:eastAsia="en-GB"/>
              </w:rPr>
            </w:pPr>
            <w:r w:rsidRPr="000577EC">
              <w:rPr>
                <w:rFonts w:ascii="Calibri" w:hAnsi="Calibri" w:cs="Calibri"/>
                <w:color w:val="000000"/>
                <w:sz w:val="22"/>
                <w:szCs w:val="22"/>
                <w:lang w:eastAsia="en-GB"/>
              </w:rPr>
              <w:t>203597</w:t>
            </w:r>
          </w:p>
        </w:tc>
        <w:tc>
          <w:tcPr>
            <w:tcW w:w="735" w:type="pct"/>
            <w:tcBorders>
              <w:top w:val="nil"/>
              <w:left w:val="nil"/>
              <w:bottom w:val="single" w:sz="4" w:space="0" w:color="auto"/>
              <w:right w:val="single" w:sz="4" w:space="0" w:color="auto"/>
            </w:tcBorders>
            <w:shd w:val="clear" w:color="auto" w:fill="auto"/>
            <w:noWrap/>
            <w:vAlign w:val="bottom"/>
            <w:hideMark/>
          </w:tcPr>
          <w:p w14:paraId="6A1D8702" w14:textId="77777777" w:rsidR="005E3026" w:rsidRPr="000577EC" w:rsidRDefault="005E3026" w:rsidP="005E3026">
            <w:pPr>
              <w:rPr>
                <w:rFonts w:ascii="Calibri" w:hAnsi="Calibri" w:cs="Calibri"/>
                <w:b/>
                <w:bCs/>
                <w:color w:val="000000"/>
                <w:sz w:val="22"/>
                <w:szCs w:val="22"/>
                <w:lang w:eastAsia="en-GB"/>
              </w:rPr>
            </w:pPr>
            <w:r w:rsidRPr="000577EC">
              <w:rPr>
                <w:rFonts w:ascii="Calibri" w:hAnsi="Calibri" w:cs="Calibri"/>
                <w:b/>
                <w:bCs/>
                <w:color w:val="000000"/>
                <w:sz w:val="22"/>
                <w:szCs w:val="22"/>
                <w:lang w:eastAsia="en-GB"/>
              </w:rPr>
              <w:t>925543</w:t>
            </w:r>
          </w:p>
        </w:tc>
      </w:tr>
      <w:tr w:rsidR="005E3026" w:rsidRPr="000577EC" w14:paraId="60D98CBD" w14:textId="77777777" w:rsidTr="00A541C5">
        <w:trPr>
          <w:trHeight w:val="290"/>
        </w:trPr>
        <w:tc>
          <w:tcPr>
            <w:tcW w:w="1128" w:type="pct"/>
            <w:tcBorders>
              <w:top w:val="nil"/>
              <w:left w:val="single" w:sz="4" w:space="0" w:color="auto"/>
              <w:bottom w:val="single" w:sz="4" w:space="0" w:color="auto"/>
              <w:right w:val="single" w:sz="4" w:space="0" w:color="auto"/>
            </w:tcBorders>
            <w:shd w:val="clear" w:color="auto" w:fill="auto"/>
            <w:vAlign w:val="bottom"/>
            <w:hideMark/>
          </w:tcPr>
          <w:p w14:paraId="3DFC2495" w14:textId="77777777" w:rsidR="005E3026" w:rsidRPr="000577EC" w:rsidRDefault="005E3026" w:rsidP="00086386">
            <w:pPr>
              <w:rPr>
                <w:rFonts w:ascii="Calibri" w:hAnsi="Calibri" w:cs="Calibri"/>
                <w:sz w:val="22"/>
                <w:szCs w:val="22"/>
                <w:lang w:eastAsia="en-GB"/>
              </w:rPr>
            </w:pPr>
            <w:r w:rsidRPr="000577EC">
              <w:rPr>
                <w:rFonts w:ascii="Calibri" w:hAnsi="Calibri" w:cs="Calibri"/>
                <w:sz w:val="22"/>
                <w:szCs w:val="22"/>
                <w:lang w:eastAsia="en-GB"/>
              </w:rPr>
              <w:t>Saving over 3 years</w:t>
            </w:r>
          </w:p>
        </w:tc>
        <w:tc>
          <w:tcPr>
            <w:tcW w:w="516" w:type="pct"/>
            <w:tcBorders>
              <w:top w:val="nil"/>
              <w:left w:val="nil"/>
              <w:bottom w:val="single" w:sz="4" w:space="0" w:color="auto"/>
              <w:right w:val="single" w:sz="4" w:space="0" w:color="auto"/>
            </w:tcBorders>
            <w:shd w:val="clear" w:color="auto" w:fill="auto"/>
            <w:noWrap/>
            <w:vAlign w:val="bottom"/>
            <w:hideMark/>
          </w:tcPr>
          <w:p w14:paraId="0D14481E"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-17500</w:t>
            </w:r>
          </w:p>
        </w:tc>
        <w:tc>
          <w:tcPr>
            <w:tcW w:w="516" w:type="pct"/>
            <w:tcBorders>
              <w:top w:val="nil"/>
              <w:left w:val="nil"/>
              <w:bottom w:val="single" w:sz="4" w:space="0" w:color="auto"/>
              <w:right w:val="single" w:sz="4" w:space="0" w:color="auto"/>
            </w:tcBorders>
            <w:shd w:val="clear" w:color="auto" w:fill="auto"/>
            <w:noWrap/>
            <w:vAlign w:val="bottom"/>
            <w:hideMark/>
          </w:tcPr>
          <w:p w14:paraId="5E1F4E29"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-9125</w:t>
            </w:r>
          </w:p>
        </w:tc>
        <w:tc>
          <w:tcPr>
            <w:tcW w:w="516" w:type="pct"/>
            <w:tcBorders>
              <w:top w:val="nil"/>
              <w:left w:val="nil"/>
              <w:bottom w:val="single" w:sz="4" w:space="0" w:color="auto"/>
              <w:right w:val="single" w:sz="4" w:space="0" w:color="auto"/>
            </w:tcBorders>
            <w:shd w:val="clear" w:color="auto" w:fill="auto"/>
            <w:noWrap/>
            <w:vAlign w:val="bottom"/>
            <w:hideMark/>
          </w:tcPr>
          <w:p w14:paraId="72065BA0" w14:textId="77777777" w:rsidR="005E3026" w:rsidRPr="000577EC" w:rsidRDefault="005E3026" w:rsidP="00086386">
            <w:pPr>
              <w:jc w:val="right"/>
              <w:rPr>
                <w:rFonts w:ascii="Calibri" w:hAnsi="Calibri" w:cs="Calibri"/>
                <w:color w:val="000000"/>
                <w:sz w:val="22"/>
                <w:szCs w:val="22"/>
                <w:lang w:eastAsia="en-GB"/>
              </w:rPr>
            </w:pPr>
            <w:r w:rsidRPr="000577EC">
              <w:rPr>
                <w:rFonts w:ascii="Calibri" w:hAnsi="Calibri" w:cs="Calibri"/>
                <w:color w:val="000000"/>
                <w:sz w:val="22"/>
                <w:szCs w:val="22"/>
                <w:lang w:eastAsia="en-GB"/>
              </w:rPr>
              <w:t>-331</w:t>
            </w:r>
          </w:p>
        </w:tc>
        <w:tc>
          <w:tcPr>
            <w:tcW w:w="516" w:type="pct"/>
            <w:tcBorders>
              <w:top w:val="nil"/>
              <w:left w:val="nil"/>
              <w:bottom w:val="single" w:sz="4" w:space="0" w:color="auto"/>
              <w:right w:val="single" w:sz="4" w:space="0" w:color="auto"/>
            </w:tcBorders>
            <w:shd w:val="clear" w:color="auto" w:fill="auto"/>
            <w:vAlign w:val="bottom"/>
            <w:hideMark/>
          </w:tcPr>
          <w:p w14:paraId="78F5F611" w14:textId="77777777" w:rsidR="005E3026" w:rsidRPr="000577EC" w:rsidRDefault="005E3026" w:rsidP="00086386">
            <w:pPr>
              <w:jc w:val="right"/>
              <w:rPr>
                <w:rFonts w:ascii="Calibri" w:hAnsi="Calibri" w:cs="Calibri"/>
                <w:b/>
                <w:bCs/>
                <w:color w:val="000000"/>
                <w:sz w:val="22"/>
                <w:szCs w:val="22"/>
                <w:lang w:eastAsia="en-GB"/>
              </w:rPr>
            </w:pPr>
            <w:r w:rsidRPr="000577EC">
              <w:rPr>
                <w:rFonts w:ascii="Calibri" w:hAnsi="Calibri" w:cs="Calibri"/>
                <w:b/>
                <w:bCs/>
                <w:color w:val="000000"/>
                <w:sz w:val="22"/>
                <w:szCs w:val="22"/>
                <w:lang w:eastAsia="en-GB"/>
              </w:rPr>
              <w:t>-26956</w:t>
            </w:r>
          </w:p>
        </w:tc>
        <w:tc>
          <w:tcPr>
            <w:tcW w:w="518" w:type="pct"/>
            <w:tcBorders>
              <w:top w:val="nil"/>
              <w:left w:val="nil"/>
              <w:bottom w:val="single" w:sz="4" w:space="0" w:color="auto"/>
              <w:right w:val="single" w:sz="4" w:space="0" w:color="auto"/>
            </w:tcBorders>
            <w:shd w:val="clear" w:color="auto" w:fill="auto"/>
            <w:noWrap/>
            <w:vAlign w:val="bottom"/>
            <w:hideMark/>
          </w:tcPr>
          <w:p w14:paraId="0EEDEE94"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c>
          <w:tcPr>
            <w:tcW w:w="555" w:type="pct"/>
            <w:tcBorders>
              <w:top w:val="nil"/>
              <w:left w:val="nil"/>
              <w:bottom w:val="single" w:sz="4" w:space="0" w:color="auto"/>
              <w:right w:val="single" w:sz="4" w:space="0" w:color="auto"/>
            </w:tcBorders>
            <w:shd w:val="clear" w:color="auto" w:fill="auto"/>
            <w:noWrap/>
            <w:vAlign w:val="bottom"/>
            <w:hideMark/>
          </w:tcPr>
          <w:p w14:paraId="58E655BE"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c>
          <w:tcPr>
            <w:tcW w:w="735" w:type="pct"/>
            <w:tcBorders>
              <w:top w:val="nil"/>
              <w:left w:val="nil"/>
              <w:bottom w:val="single" w:sz="4" w:space="0" w:color="auto"/>
              <w:right w:val="single" w:sz="4" w:space="0" w:color="auto"/>
            </w:tcBorders>
            <w:shd w:val="clear" w:color="auto" w:fill="auto"/>
            <w:noWrap/>
            <w:vAlign w:val="bottom"/>
            <w:hideMark/>
          </w:tcPr>
          <w:p w14:paraId="177439C9" w14:textId="77777777" w:rsidR="005E3026" w:rsidRPr="000577EC" w:rsidRDefault="005E3026" w:rsidP="00086386">
            <w:pPr>
              <w:rPr>
                <w:rFonts w:ascii="Calibri" w:hAnsi="Calibri" w:cs="Calibri"/>
                <w:color w:val="000000"/>
                <w:sz w:val="22"/>
                <w:szCs w:val="22"/>
                <w:lang w:eastAsia="en-GB"/>
              </w:rPr>
            </w:pPr>
            <w:r w:rsidRPr="000577EC">
              <w:rPr>
                <w:rFonts w:ascii="Calibri" w:hAnsi="Calibri" w:cs="Calibri"/>
                <w:color w:val="000000"/>
                <w:sz w:val="22"/>
                <w:szCs w:val="22"/>
                <w:lang w:eastAsia="en-GB"/>
              </w:rPr>
              <w:t> </w:t>
            </w:r>
          </w:p>
        </w:tc>
      </w:tr>
    </w:tbl>
    <w:p w14:paraId="6A845057" w14:textId="77777777" w:rsidR="00F63BD5" w:rsidRDefault="00F63BD5" w:rsidP="00561FBD"/>
    <w:p w14:paraId="54FD4A75" w14:textId="572C6D03" w:rsidR="00240760" w:rsidRDefault="00561FBD" w:rsidP="00561FBD">
      <w:r>
        <w:t>See Business Case and Financial Annex</w:t>
      </w:r>
      <w:r w:rsidR="005E3026">
        <w:t xml:space="preserve"> for fuller detail.</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736503BA" w:rsidR="00FE17E2" w:rsidRDefault="003B5453" w:rsidP="576EF44A">
      <w:r>
        <w:t xml:space="preserve">A wide range of </w:t>
      </w:r>
      <w:r w:rsidR="00456ECC">
        <w:t>equalities</w:t>
      </w:r>
      <w:r>
        <w:t xml:space="preserve"> monitoring information is produces from the Education IT System to enable the </w:t>
      </w:r>
      <w:r w:rsidR="00005801">
        <w:t>Council to meet its equalities duties in Education</w:t>
      </w:r>
      <w:r w:rsidR="007D4CAD">
        <w:t>,</w:t>
      </w:r>
      <w:r w:rsidR="00005801">
        <w:t xml:space="preserve"> including:</w:t>
      </w:r>
    </w:p>
    <w:p w14:paraId="054CF162" w14:textId="77777777" w:rsidR="00240760" w:rsidRDefault="00240760" w:rsidP="576EF44A"/>
    <w:p w14:paraId="345252E1" w14:textId="3E43355C" w:rsidR="00005801" w:rsidRDefault="00005801" w:rsidP="003E3231">
      <w:pPr>
        <w:pStyle w:val="ListParagraph"/>
        <w:numPr>
          <w:ilvl w:val="0"/>
          <w:numId w:val="1"/>
        </w:numPr>
      </w:pPr>
      <w:r>
        <w:t xml:space="preserve">Narrowing the gap indicators for vulnerable groups – SEND, free school meals, </w:t>
      </w:r>
      <w:r w:rsidR="00325CEC">
        <w:t>some ethnic backgrounds</w:t>
      </w:r>
    </w:p>
    <w:p w14:paraId="7157CCFA" w14:textId="17F78807" w:rsidR="00325CEC" w:rsidRPr="00875A88" w:rsidRDefault="00325CEC" w:rsidP="003E3231">
      <w:pPr>
        <w:pStyle w:val="ListParagraph"/>
        <w:numPr>
          <w:ilvl w:val="0"/>
          <w:numId w:val="1"/>
        </w:numPr>
        <w:rPr>
          <w:szCs w:val="24"/>
        </w:rPr>
      </w:pPr>
      <w:r>
        <w:t>Timeliness of Education Health and Care Plans</w:t>
      </w:r>
    </w:p>
    <w:p w14:paraId="20B95D5F" w14:textId="5E5EEED8" w:rsidR="00875A88" w:rsidRPr="00240760" w:rsidRDefault="00875A88" w:rsidP="003E3231">
      <w:pPr>
        <w:pStyle w:val="ListParagraph"/>
        <w:numPr>
          <w:ilvl w:val="0"/>
          <w:numId w:val="1"/>
        </w:numPr>
        <w:rPr>
          <w:szCs w:val="24"/>
        </w:rPr>
      </w:pPr>
      <w:r>
        <w:t xml:space="preserve">Tracking achievement, </w:t>
      </w:r>
      <w:r w:rsidR="00100A12">
        <w:t>attendance and exclusions across Harrow’s schools, and informing school improvement</w:t>
      </w:r>
    </w:p>
    <w:p w14:paraId="7AFDBDBD" w14:textId="77777777" w:rsidR="00240760" w:rsidRPr="00325CEC" w:rsidRDefault="00240760" w:rsidP="00240760">
      <w:pPr>
        <w:pStyle w:val="ListParagraph"/>
        <w:rPr>
          <w:szCs w:val="24"/>
        </w:rPr>
      </w:pPr>
    </w:p>
    <w:p w14:paraId="5C9887BE" w14:textId="76C4EF7A" w:rsidR="00325CEC" w:rsidRPr="00325CEC" w:rsidRDefault="00325CEC" w:rsidP="00325CEC">
      <w:pPr>
        <w:rPr>
          <w:rStyle w:val="eop"/>
          <w:szCs w:val="24"/>
        </w:rPr>
      </w:pPr>
      <w:r>
        <w:rPr>
          <w:rStyle w:val="eop"/>
          <w:szCs w:val="24"/>
        </w:rPr>
        <w:t>It also enables the fair allocation of school places via the Admissions module, and the delivery of services</w:t>
      </w:r>
      <w:r w:rsidR="007D4CAD">
        <w:rPr>
          <w:rStyle w:val="eop"/>
          <w:szCs w:val="24"/>
        </w:rPr>
        <w:t xml:space="preserve"> to those in need via SEND, Sensory and Education Psychology services.</w:t>
      </w:r>
      <w:r>
        <w:rPr>
          <w:rStyle w:val="eop"/>
          <w:szCs w:val="24"/>
        </w:rPr>
        <w:t xml:space="preserve"> </w:t>
      </w:r>
    </w:p>
    <w:p w14:paraId="735D81F2" w14:textId="77777777" w:rsidR="00377569" w:rsidRPr="00AF31F7" w:rsidRDefault="00377569" w:rsidP="00AF31F7">
      <w:pPr>
        <w:pStyle w:val="Heading4"/>
        <w:spacing w:before="480"/>
        <w:rPr>
          <w:sz w:val="28"/>
          <w:szCs w:val="28"/>
        </w:rPr>
      </w:pPr>
      <w:r w:rsidRPr="00AF31F7">
        <w:rPr>
          <w:sz w:val="28"/>
          <w:szCs w:val="28"/>
        </w:rPr>
        <w:lastRenderedPageBreak/>
        <w:t>Council Priorities</w:t>
      </w:r>
    </w:p>
    <w:p w14:paraId="654F216A" w14:textId="77777777" w:rsidR="00377569" w:rsidRDefault="00377569" w:rsidP="00377569">
      <w:pPr>
        <w:rPr>
          <w:rFonts w:cs="Arial"/>
          <w:szCs w:val="24"/>
          <w:lang w:val="en-US"/>
        </w:rPr>
      </w:pPr>
    </w:p>
    <w:p w14:paraId="23753281" w14:textId="654E2D9A" w:rsidR="00377569" w:rsidRPr="00240760" w:rsidRDefault="00377569" w:rsidP="00B01AB3">
      <w:pPr>
        <w:pStyle w:val="StyleListParagraphBold"/>
        <w:ind w:left="0"/>
        <w:rPr>
          <w:b w:val="0"/>
          <w:bCs w:val="0"/>
        </w:rPr>
      </w:pPr>
      <w:r w:rsidRPr="00240760">
        <w:rPr>
          <w:b w:val="0"/>
          <w:bCs w:val="0"/>
        </w:rPr>
        <w:t>A place where those in need are supported</w:t>
      </w:r>
      <w:r w:rsidR="00240760">
        <w:rPr>
          <w:b w:val="0"/>
          <w:bCs w:val="0"/>
        </w:rPr>
        <w:t>.</w:t>
      </w:r>
    </w:p>
    <w:p w14:paraId="2812D89F" w14:textId="77777777" w:rsidR="00B01AB3" w:rsidRDefault="00B01AB3" w:rsidP="00B01AB3">
      <w:pPr>
        <w:pStyle w:val="StyleListParagraphBold"/>
        <w:ind w:left="0"/>
      </w:pPr>
    </w:p>
    <w:p w14:paraId="26D17E52" w14:textId="71A537C9" w:rsidR="00B01AB3" w:rsidRPr="00240760" w:rsidRDefault="00B01AB3" w:rsidP="00240760">
      <w:pPr>
        <w:pStyle w:val="StyleListParagraphBold"/>
        <w:ind w:left="0"/>
        <w:rPr>
          <w:b w:val="0"/>
          <w:bCs w:val="0"/>
        </w:rPr>
      </w:pPr>
      <w:r w:rsidRPr="00B01AB3">
        <w:rPr>
          <w:b w:val="0"/>
          <w:bCs w:val="0"/>
        </w:rPr>
        <w:t>See Business Case for further details</w:t>
      </w:r>
      <w:r w:rsidR="00100A12">
        <w:rPr>
          <w:b w:val="0"/>
          <w:bCs w:val="0"/>
        </w:rPr>
        <w:t>.</w:t>
      </w:r>
    </w:p>
    <w:p w14:paraId="5514D939" w14:textId="77777777" w:rsidR="00333FAA" w:rsidRDefault="00333FAA" w:rsidP="000B7C66">
      <w:pPr>
        <w:pStyle w:val="Heading2"/>
        <w:spacing w:before="480" w:after="240"/>
      </w:pPr>
      <w:r>
        <w:t>Section 3 - Statutory Officer Clearance</w:t>
      </w:r>
    </w:p>
    <w:p w14:paraId="3B5D52F9" w14:textId="2CC86D85" w:rsidR="00A66326" w:rsidRPr="00A66326" w:rsidRDefault="00A66326" w:rsidP="00A66326">
      <w:pPr>
        <w:rPr>
          <w:sz w:val="28"/>
        </w:rPr>
      </w:pPr>
      <w:r w:rsidRPr="00A66326">
        <w:rPr>
          <w:b/>
          <w:sz w:val="28"/>
        </w:rPr>
        <w:t xml:space="preserve">Statutory Officer: </w:t>
      </w:r>
      <w:r w:rsidR="00240760" w:rsidRPr="00240760">
        <w:rPr>
          <w:b/>
          <w:sz w:val="28"/>
        </w:rPr>
        <w:t>Jo Frost</w:t>
      </w:r>
    </w:p>
    <w:p w14:paraId="06450070" w14:textId="77777777" w:rsidR="00A66326" w:rsidRPr="00A66326" w:rsidRDefault="00A66326" w:rsidP="00A66326">
      <w:r w:rsidRPr="00A66326">
        <w:t>Signed on *behalf of/by the Chief Financial Officer</w:t>
      </w:r>
    </w:p>
    <w:p w14:paraId="555021EF" w14:textId="60DCC141" w:rsidR="00A66326" w:rsidRDefault="00A66326" w:rsidP="00240760">
      <w:pPr>
        <w:rPr>
          <w:b/>
          <w:sz w:val="28"/>
        </w:rPr>
      </w:pPr>
      <w:r w:rsidRPr="00A66326">
        <w:rPr>
          <w:b/>
          <w:sz w:val="28"/>
        </w:rPr>
        <w:t xml:space="preserve">Date: </w:t>
      </w:r>
      <w:r w:rsidR="00700C63">
        <w:rPr>
          <w:b/>
          <w:sz w:val="28"/>
        </w:rPr>
        <w:t>14 November 2023</w:t>
      </w:r>
    </w:p>
    <w:p w14:paraId="0FEEC7B6" w14:textId="77777777" w:rsidR="00240760" w:rsidRPr="00A66326" w:rsidRDefault="00240760" w:rsidP="00240760">
      <w:pPr>
        <w:rPr>
          <w:sz w:val="28"/>
        </w:rPr>
      </w:pPr>
    </w:p>
    <w:p w14:paraId="7E329E85" w14:textId="766D9BF3" w:rsidR="00A66326" w:rsidRPr="00A66326" w:rsidRDefault="00A66326" w:rsidP="00A66326">
      <w:pPr>
        <w:rPr>
          <w:sz w:val="28"/>
        </w:rPr>
      </w:pPr>
      <w:r w:rsidRPr="00A66326">
        <w:rPr>
          <w:b/>
          <w:sz w:val="28"/>
        </w:rPr>
        <w:t xml:space="preserve">Statutory Officer: </w:t>
      </w:r>
      <w:r w:rsidR="00240760" w:rsidRPr="00240760">
        <w:rPr>
          <w:b/>
          <w:sz w:val="28"/>
        </w:rPr>
        <w:t>Gareth Rees</w:t>
      </w:r>
    </w:p>
    <w:p w14:paraId="76F84634" w14:textId="6C71090E" w:rsidR="00A66326" w:rsidRPr="00A66326" w:rsidRDefault="00A66326" w:rsidP="00A66326">
      <w:r>
        <w:t>Signed on behalf of</w:t>
      </w:r>
      <w:r w:rsidR="7453F404">
        <w:t xml:space="preserve"> </w:t>
      </w:r>
      <w:r>
        <w:t>the Monitoring Officer</w:t>
      </w:r>
    </w:p>
    <w:p w14:paraId="1AC0D358" w14:textId="70B8C252" w:rsidR="00A66326" w:rsidRDefault="00A66326" w:rsidP="00240760">
      <w:pPr>
        <w:rPr>
          <w:b/>
          <w:bCs/>
          <w:sz w:val="28"/>
          <w:szCs w:val="28"/>
        </w:rPr>
      </w:pPr>
      <w:r w:rsidRPr="2B66904C">
        <w:rPr>
          <w:b/>
          <w:bCs/>
          <w:sz w:val="28"/>
          <w:szCs w:val="28"/>
        </w:rPr>
        <w:t xml:space="preserve">Date: </w:t>
      </w:r>
      <w:r w:rsidR="7CF3BE41" w:rsidRPr="2B66904C">
        <w:rPr>
          <w:b/>
          <w:bCs/>
          <w:sz w:val="28"/>
          <w:szCs w:val="28"/>
        </w:rPr>
        <w:t>15 November 2023</w:t>
      </w:r>
    </w:p>
    <w:p w14:paraId="7B03CA35" w14:textId="77777777" w:rsidR="00240760" w:rsidRPr="003313EA" w:rsidRDefault="00240760" w:rsidP="00240760">
      <w:pPr>
        <w:rPr>
          <w:sz w:val="28"/>
          <w:szCs w:val="28"/>
        </w:rPr>
      </w:pPr>
    </w:p>
    <w:p w14:paraId="31D8FA55" w14:textId="60E74AAE" w:rsidR="00BF5AFA" w:rsidRPr="00A66326" w:rsidRDefault="00BF5AFA" w:rsidP="00BF5AFA">
      <w:pPr>
        <w:rPr>
          <w:sz w:val="28"/>
        </w:rPr>
      </w:pPr>
      <w:r>
        <w:rPr>
          <w:b/>
          <w:sz w:val="28"/>
        </w:rPr>
        <w:t>Chief</w:t>
      </w:r>
      <w:r w:rsidRPr="00A66326">
        <w:rPr>
          <w:b/>
          <w:sz w:val="28"/>
        </w:rPr>
        <w:t xml:space="preserve"> Officer: </w:t>
      </w:r>
      <w:r w:rsidR="00240760" w:rsidRPr="00240760">
        <w:rPr>
          <w:b/>
          <w:sz w:val="28"/>
        </w:rPr>
        <w:t>Alex Dewsnap</w:t>
      </w:r>
    </w:p>
    <w:p w14:paraId="6C086558" w14:textId="2FDB2D52" w:rsidR="00BF5AFA" w:rsidRPr="009A440A" w:rsidRDefault="00BF5AFA" w:rsidP="00BF5AFA">
      <w:pPr>
        <w:rPr>
          <w:sz w:val="28"/>
          <w:szCs w:val="28"/>
        </w:rPr>
      </w:pPr>
      <w:r w:rsidRPr="009A440A">
        <w:rPr>
          <w:sz w:val="28"/>
          <w:szCs w:val="28"/>
        </w:rPr>
        <w:t xml:space="preserve">Signed off by the </w:t>
      </w:r>
      <w:r w:rsidR="00240760">
        <w:rPr>
          <w:sz w:val="28"/>
          <w:szCs w:val="28"/>
        </w:rPr>
        <w:t xml:space="preserve">Managing </w:t>
      </w:r>
      <w:r w:rsidRPr="009A440A">
        <w:rPr>
          <w:sz w:val="28"/>
          <w:szCs w:val="28"/>
        </w:rPr>
        <w:t>Director</w:t>
      </w:r>
    </w:p>
    <w:p w14:paraId="5F67CDF0" w14:textId="5527C113" w:rsidR="00BF5AFA" w:rsidRDefault="00BF5AFA" w:rsidP="00240760">
      <w:pPr>
        <w:rPr>
          <w:b/>
          <w:sz w:val="28"/>
        </w:rPr>
      </w:pPr>
      <w:r w:rsidRPr="00A66326">
        <w:rPr>
          <w:b/>
          <w:sz w:val="28"/>
        </w:rPr>
        <w:t xml:space="preserve">Date: </w:t>
      </w:r>
      <w:r w:rsidR="009A440A">
        <w:rPr>
          <w:b/>
          <w:sz w:val="28"/>
        </w:rPr>
        <w:t>16 November</w:t>
      </w:r>
      <w:r w:rsidR="00240760">
        <w:rPr>
          <w:b/>
          <w:sz w:val="28"/>
        </w:rPr>
        <w:t xml:space="preserve"> 2023</w:t>
      </w:r>
    </w:p>
    <w:p w14:paraId="7126CB65" w14:textId="77777777" w:rsidR="00240760" w:rsidRPr="00A66326" w:rsidRDefault="00240760" w:rsidP="00240760">
      <w:pPr>
        <w:rPr>
          <w:sz w:val="28"/>
        </w:rPr>
      </w:pPr>
    </w:p>
    <w:p w14:paraId="1BFEA4AE" w14:textId="4F97C757" w:rsidR="00BF5AFA" w:rsidRPr="00A66326" w:rsidRDefault="00BF5AFA" w:rsidP="499DF741">
      <w:pPr>
        <w:rPr>
          <w:sz w:val="28"/>
          <w:szCs w:val="28"/>
        </w:rPr>
      </w:pPr>
      <w:r w:rsidRPr="499DF741">
        <w:rPr>
          <w:b/>
          <w:bCs/>
          <w:sz w:val="28"/>
          <w:szCs w:val="28"/>
        </w:rPr>
        <w:t xml:space="preserve">Head of Procurement: </w:t>
      </w:r>
      <w:r w:rsidR="00240760" w:rsidRPr="00240760">
        <w:rPr>
          <w:b/>
          <w:bCs/>
          <w:sz w:val="28"/>
          <w:szCs w:val="28"/>
        </w:rPr>
        <w:t>Martin Trim</w:t>
      </w:r>
      <w:r w:rsidRPr="499DF741">
        <w:rPr>
          <w:b/>
          <w:bCs/>
          <w:sz w:val="28"/>
          <w:szCs w:val="28"/>
        </w:rPr>
        <w:t xml:space="preserve"> </w:t>
      </w:r>
    </w:p>
    <w:p w14:paraId="6E47EB07" w14:textId="3F5D74BD" w:rsidR="00BF5AFA" w:rsidRPr="00A66326" w:rsidRDefault="0267DD5E" w:rsidP="499DF741">
      <w:r w:rsidRPr="499DF741">
        <w:rPr>
          <w:sz w:val="28"/>
          <w:szCs w:val="28"/>
        </w:rPr>
        <w:t>Signed on behalf of Head of Procurement</w:t>
      </w:r>
    </w:p>
    <w:p w14:paraId="5A683B65" w14:textId="5D222017" w:rsidR="00BF5AFA" w:rsidRDefault="00BF5AFA" w:rsidP="00240760">
      <w:pPr>
        <w:rPr>
          <w:b/>
          <w:sz w:val="28"/>
        </w:rPr>
      </w:pPr>
      <w:r w:rsidRPr="00A66326">
        <w:rPr>
          <w:b/>
          <w:sz w:val="28"/>
        </w:rPr>
        <w:t xml:space="preserve">Date: </w:t>
      </w:r>
      <w:r w:rsidR="00FF6FA3">
        <w:rPr>
          <w:b/>
          <w:sz w:val="28"/>
        </w:rPr>
        <w:t>9 November 2023</w:t>
      </w:r>
    </w:p>
    <w:p w14:paraId="0135F20B" w14:textId="77777777" w:rsidR="00240760" w:rsidRPr="003313EA" w:rsidRDefault="00240760" w:rsidP="00240760">
      <w:pPr>
        <w:rPr>
          <w:sz w:val="28"/>
        </w:rPr>
      </w:pPr>
    </w:p>
    <w:p w14:paraId="113297A5" w14:textId="4611B79C" w:rsidR="00BF5AFA" w:rsidRPr="00A66326" w:rsidRDefault="00BF5AFA" w:rsidP="00BF5AFA">
      <w:pPr>
        <w:rPr>
          <w:sz w:val="28"/>
        </w:rPr>
      </w:pPr>
      <w:r>
        <w:rPr>
          <w:b/>
          <w:sz w:val="28"/>
        </w:rPr>
        <w:t>Head of Internal Audit</w:t>
      </w:r>
      <w:r w:rsidRPr="00A66326">
        <w:rPr>
          <w:b/>
          <w:sz w:val="28"/>
        </w:rPr>
        <w:t>:</w:t>
      </w:r>
      <w:r w:rsidR="00240760">
        <w:rPr>
          <w:b/>
          <w:sz w:val="28"/>
        </w:rPr>
        <w:t xml:space="preserve"> </w:t>
      </w:r>
      <w:r w:rsidRPr="00A66326">
        <w:rPr>
          <w:b/>
          <w:sz w:val="28"/>
        </w:rPr>
        <w:t xml:space="preserve"> </w:t>
      </w:r>
      <w:r w:rsidR="00240760" w:rsidRPr="00240760">
        <w:rPr>
          <w:b/>
          <w:sz w:val="28"/>
        </w:rPr>
        <w:t>Neale Burns</w:t>
      </w:r>
      <w:r w:rsidRPr="00A66326">
        <w:rPr>
          <w:b/>
          <w:sz w:val="28"/>
        </w:rPr>
        <w:t xml:space="preserve"> </w:t>
      </w:r>
    </w:p>
    <w:p w14:paraId="5CF04A24" w14:textId="5FE9F613" w:rsidR="00BF5AFA" w:rsidRPr="00A66326" w:rsidRDefault="00BF5AFA" w:rsidP="00BF5AFA">
      <w:r w:rsidRPr="00A66326">
        <w:t xml:space="preserve">Signed on behalf of the </w:t>
      </w:r>
      <w:r>
        <w:t>Head of Internal Audit</w:t>
      </w:r>
    </w:p>
    <w:p w14:paraId="065BF29C" w14:textId="2BC0E891" w:rsidR="00BF5AFA" w:rsidRPr="00F42E1E" w:rsidRDefault="00BF5AFA" w:rsidP="00BF5AFA">
      <w:pPr>
        <w:pStyle w:val="Heading2"/>
        <w:spacing w:after="240"/>
        <w:rPr>
          <w:rFonts w:ascii="Arial" w:hAnsi="Arial"/>
          <w:sz w:val="28"/>
        </w:rPr>
      </w:pPr>
      <w:r w:rsidRPr="00F42E1E">
        <w:rPr>
          <w:rFonts w:ascii="Arial" w:hAnsi="Arial"/>
          <w:sz w:val="28"/>
        </w:rPr>
        <w:t>Date:</w:t>
      </w:r>
      <w:r w:rsidR="00FF6FA3">
        <w:rPr>
          <w:rFonts w:ascii="Arial" w:hAnsi="Arial"/>
          <w:sz w:val="28"/>
        </w:rPr>
        <w:t>10</w:t>
      </w:r>
      <w:r w:rsidR="00240760">
        <w:rPr>
          <w:rFonts w:ascii="Arial" w:hAnsi="Arial"/>
          <w:sz w:val="28"/>
          <w:vertAlign w:val="superscript"/>
        </w:rPr>
        <w:t xml:space="preserve"> </w:t>
      </w:r>
      <w:r w:rsidR="00FF6FA3">
        <w:rPr>
          <w:rFonts w:ascii="Arial" w:hAnsi="Arial"/>
          <w:sz w:val="28"/>
        </w:rPr>
        <w:t>November 2023</w:t>
      </w:r>
    </w:p>
    <w:p w14:paraId="236185B6" w14:textId="6C7DDF81"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FF6FA3">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553A3A1A" w:rsidR="003313EA" w:rsidRPr="00A406F3" w:rsidRDefault="003313EA" w:rsidP="003313EA">
      <w:pPr>
        <w:pStyle w:val="Heading3"/>
        <w:ind w:left="0" w:firstLine="0"/>
        <w:jc w:val="left"/>
      </w:pPr>
      <w:r w:rsidRPr="003313EA">
        <w:t xml:space="preserve">Ward Councillors </w:t>
      </w:r>
      <w:r>
        <w:t xml:space="preserve">notified:  </w:t>
      </w:r>
      <w:r w:rsidRPr="009A440A">
        <w:rPr>
          <w:b w:val="0"/>
          <w:bCs w:val="0"/>
        </w:rPr>
        <w:t>N</w:t>
      </w:r>
      <w:r w:rsidR="00675C33" w:rsidRPr="009A440A">
        <w:rPr>
          <w:b w:val="0"/>
          <w:bCs w:val="0"/>
        </w:rPr>
        <w:t>o</w:t>
      </w:r>
      <w:r w:rsidRPr="009A440A">
        <w:rPr>
          <w:b w:val="0"/>
          <w:bCs w:val="0"/>
        </w:rPr>
        <w:t>, as it impacts on all Wards</w:t>
      </w:r>
      <w:r w:rsidRPr="00A406F3">
        <w:t xml:space="preserve"> </w:t>
      </w:r>
    </w:p>
    <w:p w14:paraId="7CE68E5A" w14:textId="7AFB6C3A" w:rsidR="002A7CF5" w:rsidRDefault="003313EA" w:rsidP="00AC60D7">
      <w:pPr>
        <w:pStyle w:val="Heading3"/>
        <w:spacing w:before="240"/>
      </w:pPr>
      <w:proofErr w:type="spellStart"/>
      <w:r w:rsidRPr="00202D79">
        <w:t>EqIA</w:t>
      </w:r>
      <w:proofErr w:type="spellEnd"/>
      <w:r w:rsidRPr="00202D79">
        <w:t xml:space="preserve"> carried out:</w:t>
      </w:r>
      <w:r>
        <w:t xml:space="preserve">  </w:t>
      </w:r>
      <w:r w:rsidRPr="00202D79">
        <w:t>N</w:t>
      </w:r>
      <w:r w:rsidR="005A3AC3">
        <w:t>o</w:t>
      </w:r>
    </w:p>
    <w:p w14:paraId="3B0455CB" w14:textId="2B93A07D" w:rsidR="002A7CF5" w:rsidRDefault="002A7CF5" w:rsidP="002A7CF5">
      <w:r>
        <w:t xml:space="preserve">As the proposal is to continue with the existing supplier under a new </w:t>
      </w:r>
      <w:r w:rsidR="00AC60D7">
        <w:t xml:space="preserve">contract, </w:t>
      </w:r>
      <w:r w:rsidR="00675C33">
        <w:t xml:space="preserve">which has no material impact on services, </w:t>
      </w:r>
      <w:r w:rsidR="00AC60D7">
        <w:t xml:space="preserve">and this will enable Harrow to continue to meet its duties in terms of monitoring and supporting equalities in </w:t>
      </w:r>
      <w:r w:rsidR="00675C33">
        <w:t>education across the Borough, an Equalities Impact Assessment is not necessary.</w:t>
      </w:r>
    </w:p>
    <w:p w14:paraId="5980B1E0" w14:textId="3934CFBE" w:rsidR="001D5EDA" w:rsidRDefault="001D5EDA" w:rsidP="002A7CF5"/>
    <w:p w14:paraId="3A127F0B" w14:textId="77777777" w:rsidR="001D5EDA" w:rsidRPr="002A7CF5" w:rsidRDefault="001D5EDA" w:rsidP="002A7CF5"/>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455C3CBD" w:rsidR="00333FAA" w:rsidRPr="002750BB" w:rsidRDefault="00333FAA" w:rsidP="00CC18AC">
      <w:pPr>
        <w:pStyle w:val="Infotext"/>
        <w:spacing w:after="240"/>
      </w:pPr>
      <w:r w:rsidRPr="004E47FC">
        <w:rPr>
          <w:b/>
        </w:rPr>
        <w:t xml:space="preserve">Contact:  </w:t>
      </w:r>
      <w:r w:rsidR="002750BB" w:rsidRPr="002750BB">
        <w:t>David Harrington, Head of Business Intelligence, david.harrington@harrow.gov.uk</w:t>
      </w:r>
    </w:p>
    <w:p w14:paraId="77C58D4B" w14:textId="0C0D5C41" w:rsidR="00333FAA" w:rsidRDefault="00333FAA" w:rsidP="00CC18AC">
      <w:pPr>
        <w:pStyle w:val="Infotext"/>
        <w:spacing w:after="240"/>
        <w:rPr>
          <w:b/>
        </w:rPr>
      </w:pPr>
      <w:r w:rsidRPr="004E47FC">
        <w:rPr>
          <w:b/>
        </w:rPr>
        <w:t xml:space="preserve">Background Papers: </w:t>
      </w:r>
      <w:r w:rsidR="005808FB">
        <w:rPr>
          <w:b/>
        </w:rPr>
        <w:t xml:space="preserve"> </w:t>
      </w:r>
      <w:r w:rsidR="007503B6">
        <w:rPr>
          <w:bCs/>
        </w:rPr>
        <w:t>None</w:t>
      </w:r>
    </w:p>
    <w:p w14:paraId="3CCA5C3B" w14:textId="0D9341C0" w:rsidR="000D4E36" w:rsidRPr="00ED6776" w:rsidRDefault="00842757" w:rsidP="00240760">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w:t>
      </w:r>
      <w:r w:rsidR="00240760">
        <w:rPr>
          <w:rFonts w:ascii="Arial Black" w:hAnsi="Arial Black"/>
        </w:rPr>
        <w:t>e: No</w:t>
      </w:r>
    </w:p>
    <w:sectPr w:rsidR="000D4E36" w:rsidRPr="00ED6776" w:rsidSect="001614E0">
      <w:headerReference w:type="default" r:id="rId13"/>
      <w:headerReference w:type="first" r:id="rId14"/>
      <w:footerReference w:type="firs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5948" w14:textId="77777777" w:rsidR="00AA0038" w:rsidRDefault="00AA0038">
      <w:r>
        <w:separator/>
      </w:r>
    </w:p>
  </w:endnote>
  <w:endnote w:type="continuationSeparator" w:id="0">
    <w:p w14:paraId="51855427" w14:textId="77777777" w:rsidR="00AA0038" w:rsidRDefault="00AA0038">
      <w:r>
        <w:continuationSeparator/>
      </w:r>
    </w:p>
  </w:endnote>
  <w:endnote w:type="continuationNotice" w:id="1">
    <w:p w14:paraId="5355C3A4" w14:textId="77777777" w:rsidR="00AA0038" w:rsidRDefault="00AA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1A61" w14:textId="77777777" w:rsidR="00AA0038" w:rsidRDefault="00AA0038">
      <w:r>
        <w:separator/>
      </w:r>
    </w:p>
  </w:footnote>
  <w:footnote w:type="continuationSeparator" w:id="0">
    <w:p w14:paraId="56BC7A43" w14:textId="77777777" w:rsidR="00AA0038" w:rsidRDefault="00AA0038">
      <w:r>
        <w:continuationSeparator/>
      </w:r>
    </w:p>
  </w:footnote>
  <w:footnote w:type="continuationNotice" w:id="1">
    <w:p w14:paraId="1E391529" w14:textId="77777777" w:rsidR="00AA0038" w:rsidRDefault="00AA0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BE9"/>
    <w:multiLevelType w:val="hybridMultilevel"/>
    <w:tmpl w:val="E7DE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61BC5"/>
    <w:multiLevelType w:val="hybridMultilevel"/>
    <w:tmpl w:val="26587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A14D6"/>
    <w:multiLevelType w:val="hybridMultilevel"/>
    <w:tmpl w:val="0ADAC26A"/>
    <w:lvl w:ilvl="0" w:tplc="EFF66C8C">
      <w:start w:val="1"/>
      <w:numFmt w:val="decimal"/>
      <w:lvlText w:val="%1."/>
      <w:lvlJc w:val="left"/>
      <w:pPr>
        <w:ind w:left="720" w:hanging="360"/>
      </w:pPr>
      <w:rPr>
        <w:rFonts w:ascii="Arial" w:hAnsi="Aria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62443937">
    <w:abstractNumId w:val="0"/>
  </w:num>
  <w:num w:numId="2" w16cid:durableId="140655146">
    <w:abstractNumId w:val="2"/>
  </w:num>
  <w:num w:numId="3" w16cid:durableId="28215690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F27"/>
    <w:rsid w:val="00005801"/>
    <w:rsid w:val="00011BAF"/>
    <w:rsid w:val="0001545A"/>
    <w:rsid w:val="00032B5E"/>
    <w:rsid w:val="00037425"/>
    <w:rsid w:val="0004029A"/>
    <w:rsid w:val="000404D2"/>
    <w:rsid w:val="00045901"/>
    <w:rsid w:val="000474E3"/>
    <w:rsid w:val="00055C3A"/>
    <w:rsid w:val="0006034E"/>
    <w:rsid w:val="00063783"/>
    <w:rsid w:val="00066EC3"/>
    <w:rsid w:val="00073595"/>
    <w:rsid w:val="00073765"/>
    <w:rsid w:val="00075F42"/>
    <w:rsid w:val="000776B9"/>
    <w:rsid w:val="00080F82"/>
    <w:rsid w:val="000840AB"/>
    <w:rsid w:val="00087BB7"/>
    <w:rsid w:val="000929A6"/>
    <w:rsid w:val="00095FA1"/>
    <w:rsid w:val="000A22BC"/>
    <w:rsid w:val="000B5015"/>
    <w:rsid w:val="000B788F"/>
    <w:rsid w:val="000B7C66"/>
    <w:rsid w:val="000C21D2"/>
    <w:rsid w:val="000C24C6"/>
    <w:rsid w:val="000D1AB5"/>
    <w:rsid w:val="000D4E36"/>
    <w:rsid w:val="000D535B"/>
    <w:rsid w:val="000E62FE"/>
    <w:rsid w:val="00100A12"/>
    <w:rsid w:val="00105B8A"/>
    <w:rsid w:val="00115CC3"/>
    <w:rsid w:val="001161E4"/>
    <w:rsid w:val="00125A26"/>
    <w:rsid w:val="00135177"/>
    <w:rsid w:val="001472A8"/>
    <w:rsid w:val="00147621"/>
    <w:rsid w:val="0015376F"/>
    <w:rsid w:val="001614E0"/>
    <w:rsid w:val="00171BD8"/>
    <w:rsid w:val="0017653E"/>
    <w:rsid w:val="00182B01"/>
    <w:rsid w:val="001840D2"/>
    <w:rsid w:val="00184BCD"/>
    <w:rsid w:val="001966D7"/>
    <w:rsid w:val="001A51B7"/>
    <w:rsid w:val="001B34D7"/>
    <w:rsid w:val="001C4D2E"/>
    <w:rsid w:val="001C7E35"/>
    <w:rsid w:val="001D3570"/>
    <w:rsid w:val="001D3ADD"/>
    <w:rsid w:val="001D5EDA"/>
    <w:rsid w:val="001E23BD"/>
    <w:rsid w:val="001E3C06"/>
    <w:rsid w:val="001F0037"/>
    <w:rsid w:val="001F0BE9"/>
    <w:rsid w:val="00201C6C"/>
    <w:rsid w:val="00202D79"/>
    <w:rsid w:val="00205D2F"/>
    <w:rsid w:val="00215E8F"/>
    <w:rsid w:val="00221A93"/>
    <w:rsid w:val="00232249"/>
    <w:rsid w:val="002322BB"/>
    <w:rsid w:val="00236506"/>
    <w:rsid w:val="00240448"/>
    <w:rsid w:val="00240760"/>
    <w:rsid w:val="00251254"/>
    <w:rsid w:val="002548D1"/>
    <w:rsid w:val="00254D52"/>
    <w:rsid w:val="0027283B"/>
    <w:rsid w:val="002750BB"/>
    <w:rsid w:val="00277052"/>
    <w:rsid w:val="0028019B"/>
    <w:rsid w:val="00282E73"/>
    <w:rsid w:val="00283CAB"/>
    <w:rsid w:val="0028525A"/>
    <w:rsid w:val="00287DB0"/>
    <w:rsid w:val="002A0F50"/>
    <w:rsid w:val="002A3FEF"/>
    <w:rsid w:val="002A7CF5"/>
    <w:rsid w:val="002B54A6"/>
    <w:rsid w:val="002E183E"/>
    <w:rsid w:val="002F2FE0"/>
    <w:rsid w:val="002F3EE9"/>
    <w:rsid w:val="00300F36"/>
    <w:rsid w:val="00307F76"/>
    <w:rsid w:val="00311071"/>
    <w:rsid w:val="00321FBB"/>
    <w:rsid w:val="00325CEC"/>
    <w:rsid w:val="00330832"/>
    <w:rsid w:val="003313EA"/>
    <w:rsid w:val="00333FAA"/>
    <w:rsid w:val="003355BB"/>
    <w:rsid w:val="003355D7"/>
    <w:rsid w:val="00337066"/>
    <w:rsid w:val="00357694"/>
    <w:rsid w:val="0036201C"/>
    <w:rsid w:val="00370F15"/>
    <w:rsid w:val="00376768"/>
    <w:rsid w:val="00377569"/>
    <w:rsid w:val="00380F87"/>
    <w:rsid w:val="00381239"/>
    <w:rsid w:val="0038438B"/>
    <w:rsid w:val="00385B67"/>
    <w:rsid w:val="00385CF8"/>
    <w:rsid w:val="00392972"/>
    <w:rsid w:val="003A5709"/>
    <w:rsid w:val="003B5453"/>
    <w:rsid w:val="003C270D"/>
    <w:rsid w:val="003C4487"/>
    <w:rsid w:val="003C5A47"/>
    <w:rsid w:val="003E3231"/>
    <w:rsid w:val="003F200F"/>
    <w:rsid w:val="003F3AFD"/>
    <w:rsid w:val="004076C8"/>
    <w:rsid w:val="004207E3"/>
    <w:rsid w:val="00421A4C"/>
    <w:rsid w:val="004238C2"/>
    <w:rsid w:val="00435B5D"/>
    <w:rsid w:val="004363F7"/>
    <w:rsid w:val="0044525C"/>
    <w:rsid w:val="004553F1"/>
    <w:rsid w:val="00456ECC"/>
    <w:rsid w:val="00471C1F"/>
    <w:rsid w:val="004763F9"/>
    <w:rsid w:val="004809FA"/>
    <w:rsid w:val="00487578"/>
    <w:rsid w:val="00496460"/>
    <w:rsid w:val="004B5A0C"/>
    <w:rsid w:val="004B5D78"/>
    <w:rsid w:val="004C2D09"/>
    <w:rsid w:val="004C4A75"/>
    <w:rsid w:val="004C5D9C"/>
    <w:rsid w:val="004D2DA0"/>
    <w:rsid w:val="004D3727"/>
    <w:rsid w:val="004D39F6"/>
    <w:rsid w:val="004D51B0"/>
    <w:rsid w:val="004E14A4"/>
    <w:rsid w:val="004E40CB"/>
    <w:rsid w:val="004F54BD"/>
    <w:rsid w:val="004F56C5"/>
    <w:rsid w:val="00506185"/>
    <w:rsid w:val="00523FF1"/>
    <w:rsid w:val="00527F01"/>
    <w:rsid w:val="005354D0"/>
    <w:rsid w:val="0054172C"/>
    <w:rsid w:val="0054590F"/>
    <w:rsid w:val="005459EC"/>
    <w:rsid w:val="0055472A"/>
    <w:rsid w:val="00561FBD"/>
    <w:rsid w:val="00563EA4"/>
    <w:rsid w:val="00564AAE"/>
    <w:rsid w:val="005718B5"/>
    <w:rsid w:val="005730CA"/>
    <w:rsid w:val="005808FB"/>
    <w:rsid w:val="005811F8"/>
    <w:rsid w:val="00582605"/>
    <w:rsid w:val="005875D8"/>
    <w:rsid w:val="00591016"/>
    <w:rsid w:val="0059692B"/>
    <w:rsid w:val="005A3AC3"/>
    <w:rsid w:val="005A46E4"/>
    <w:rsid w:val="005B0137"/>
    <w:rsid w:val="005B23B6"/>
    <w:rsid w:val="005B2EA3"/>
    <w:rsid w:val="005B3F67"/>
    <w:rsid w:val="005D29D0"/>
    <w:rsid w:val="005D548F"/>
    <w:rsid w:val="005D6EF5"/>
    <w:rsid w:val="005E3026"/>
    <w:rsid w:val="005E3A10"/>
    <w:rsid w:val="005E7509"/>
    <w:rsid w:val="00601D7F"/>
    <w:rsid w:val="00605A4C"/>
    <w:rsid w:val="00616184"/>
    <w:rsid w:val="006318D0"/>
    <w:rsid w:val="00637A0F"/>
    <w:rsid w:val="00645B8B"/>
    <w:rsid w:val="00647B02"/>
    <w:rsid w:val="00650BE0"/>
    <w:rsid w:val="00655044"/>
    <w:rsid w:val="00655436"/>
    <w:rsid w:val="00666922"/>
    <w:rsid w:val="00670F17"/>
    <w:rsid w:val="006710C7"/>
    <w:rsid w:val="00675C33"/>
    <w:rsid w:val="00696A83"/>
    <w:rsid w:val="006B3A13"/>
    <w:rsid w:val="006B5CD7"/>
    <w:rsid w:val="006C580A"/>
    <w:rsid w:val="006D1E69"/>
    <w:rsid w:val="006E00B2"/>
    <w:rsid w:val="006E1595"/>
    <w:rsid w:val="006F057C"/>
    <w:rsid w:val="006F22DA"/>
    <w:rsid w:val="006F2EB3"/>
    <w:rsid w:val="00700C63"/>
    <w:rsid w:val="007025C0"/>
    <w:rsid w:val="007112D1"/>
    <w:rsid w:val="007116B1"/>
    <w:rsid w:val="00714BEE"/>
    <w:rsid w:val="00721215"/>
    <w:rsid w:val="00721E9B"/>
    <w:rsid w:val="0073114F"/>
    <w:rsid w:val="00733D2E"/>
    <w:rsid w:val="007341C1"/>
    <w:rsid w:val="00736879"/>
    <w:rsid w:val="007400CF"/>
    <w:rsid w:val="00740D84"/>
    <w:rsid w:val="007503B6"/>
    <w:rsid w:val="007536B8"/>
    <w:rsid w:val="00756146"/>
    <w:rsid w:val="00780DC1"/>
    <w:rsid w:val="007B23FC"/>
    <w:rsid w:val="007B2C2B"/>
    <w:rsid w:val="007B5750"/>
    <w:rsid w:val="007C2474"/>
    <w:rsid w:val="007D058F"/>
    <w:rsid w:val="007D0C1D"/>
    <w:rsid w:val="007D2000"/>
    <w:rsid w:val="007D4CAD"/>
    <w:rsid w:val="007D4DBF"/>
    <w:rsid w:val="007E0758"/>
    <w:rsid w:val="007E4732"/>
    <w:rsid w:val="007E4BA4"/>
    <w:rsid w:val="007E601F"/>
    <w:rsid w:val="007F004E"/>
    <w:rsid w:val="007F1163"/>
    <w:rsid w:val="007F3287"/>
    <w:rsid w:val="007F335A"/>
    <w:rsid w:val="007F6E04"/>
    <w:rsid w:val="00803104"/>
    <w:rsid w:val="00812901"/>
    <w:rsid w:val="00826B9A"/>
    <w:rsid w:val="00831008"/>
    <w:rsid w:val="008409EE"/>
    <w:rsid w:val="00842757"/>
    <w:rsid w:val="00843CC2"/>
    <w:rsid w:val="0085266D"/>
    <w:rsid w:val="008725C5"/>
    <w:rsid w:val="00875A88"/>
    <w:rsid w:val="00890B44"/>
    <w:rsid w:val="008A5AA0"/>
    <w:rsid w:val="008B42BB"/>
    <w:rsid w:val="008E2191"/>
    <w:rsid w:val="008E224D"/>
    <w:rsid w:val="008E49ED"/>
    <w:rsid w:val="008E57D7"/>
    <w:rsid w:val="008F6E64"/>
    <w:rsid w:val="00901BEB"/>
    <w:rsid w:val="00906156"/>
    <w:rsid w:val="0091232F"/>
    <w:rsid w:val="00915FCD"/>
    <w:rsid w:val="00916AA2"/>
    <w:rsid w:val="0092530B"/>
    <w:rsid w:val="00931383"/>
    <w:rsid w:val="009341A6"/>
    <w:rsid w:val="00936416"/>
    <w:rsid w:val="00936CA0"/>
    <w:rsid w:val="0094208C"/>
    <w:rsid w:val="009423E7"/>
    <w:rsid w:val="00942F17"/>
    <w:rsid w:val="00943236"/>
    <w:rsid w:val="00943EE2"/>
    <w:rsid w:val="00952CEF"/>
    <w:rsid w:val="00955421"/>
    <w:rsid w:val="00961EFF"/>
    <w:rsid w:val="00965D21"/>
    <w:rsid w:val="00965E61"/>
    <w:rsid w:val="0097421F"/>
    <w:rsid w:val="009752D3"/>
    <w:rsid w:val="00990E9C"/>
    <w:rsid w:val="0099412D"/>
    <w:rsid w:val="00994542"/>
    <w:rsid w:val="00994908"/>
    <w:rsid w:val="009A30EF"/>
    <w:rsid w:val="009A382D"/>
    <w:rsid w:val="009A440A"/>
    <w:rsid w:val="009A7141"/>
    <w:rsid w:val="009B160B"/>
    <w:rsid w:val="009B3A24"/>
    <w:rsid w:val="009C237B"/>
    <w:rsid w:val="009C4DD1"/>
    <w:rsid w:val="009C5160"/>
    <w:rsid w:val="009D3C79"/>
    <w:rsid w:val="009D5053"/>
    <w:rsid w:val="009E0255"/>
    <w:rsid w:val="009E5A93"/>
    <w:rsid w:val="009F3154"/>
    <w:rsid w:val="00A1211C"/>
    <w:rsid w:val="00A20113"/>
    <w:rsid w:val="00A20D78"/>
    <w:rsid w:val="00A2215F"/>
    <w:rsid w:val="00A22839"/>
    <w:rsid w:val="00A23763"/>
    <w:rsid w:val="00A23E19"/>
    <w:rsid w:val="00A33185"/>
    <w:rsid w:val="00A53B04"/>
    <w:rsid w:val="00A541C5"/>
    <w:rsid w:val="00A60797"/>
    <w:rsid w:val="00A661F4"/>
    <w:rsid w:val="00A66326"/>
    <w:rsid w:val="00A67EBA"/>
    <w:rsid w:val="00A7178B"/>
    <w:rsid w:val="00A72226"/>
    <w:rsid w:val="00A72521"/>
    <w:rsid w:val="00A7271A"/>
    <w:rsid w:val="00A727E7"/>
    <w:rsid w:val="00A7399F"/>
    <w:rsid w:val="00A74D79"/>
    <w:rsid w:val="00A81E19"/>
    <w:rsid w:val="00A9723B"/>
    <w:rsid w:val="00AA0038"/>
    <w:rsid w:val="00AA5B3A"/>
    <w:rsid w:val="00AB3528"/>
    <w:rsid w:val="00AB58F1"/>
    <w:rsid w:val="00AB795F"/>
    <w:rsid w:val="00AC2FC2"/>
    <w:rsid w:val="00AC60D7"/>
    <w:rsid w:val="00AC6312"/>
    <w:rsid w:val="00AD1E77"/>
    <w:rsid w:val="00AD6D80"/>
    <w:rsid w:val="00AF31F7"/>
    <w:rsid w:val="00AF701E"/>
    <w:rsid w:val="00B008A4"/>
    <w:rsid w:val="00B01AB3"/>
    <w:rsid w:val="00B1160D"/>
    <w:rsid w:val="00B12151"/>
    <w:rsid w:val="00B139FB"/>
    <w:rsid w:val="00B27C05"/>
    <w:rsid w:val="00B40941"/>
    <w:rsid w:val="00B444E6"/>
    <w:rsid w:val="00B452B7"/>
    <w:rsid w:val="00B52011"/>
    <w:rsid w:val="00B53EFF"/>
    <w:rsid w:val="00B54AFA"/>
    <w:rsid w:val="00B57D17"/>
    <w:rsid w:val="00B671A4"/>
    <w:rsid w:val="00B804E8"/>
    <w:rsid w:val="00B84591"/>
    <w:rsid w:val="00B8485D"/>
    <w:rsid w:val="00BC206C"/>
    <w:rsid w:val="00BC431A"/>
    <w:rsid w:val="00BD07D1"/>
    <w:rsid w:val="00BD1396"/>
    <w:rsid w:val="00BD3CDB"/>
    <w:rsid w:val="00BD3E2C"/>
    <w:rsid w:val="00BE09F9"/>
    <w:rsid w:val="00BF5AFA"/>
    <w:rsid w:val="00C006B2"/>
    <w:rsid w:val="00C01A35"/>
    <w:rsid w:val="00C03772"/>
    <w:rsid w:val="00C04EDA"/>
    <w:rsid w:val="00C06CD0"/>
    <w:rsid w:val="00C119A2"/>
    <w:rsid w:val="00C11B3C"/>
    <w:rsid w:val="00C1237A"/>
    <w:rsid w:val="00C20495"/>
    <w:rsid w:val="00C242F1"/>
    <w:rsid w:val="00C310CA"/>
    <w:rsid w:val="00C53F1A"/>
    <w:rsid w:val="00C57267"/>
    <w:rsid w:val="00C616FF"/>
    <w:rsid w:val="00C62B63"/>
    <w:rsid w:val="00C72B5B"/>
    <w:rsid w:val="00C869F3"/>
    <w:rsid w:val="00CB4F2E"/>
    <w:rsid w:val="00CB7E16"/>
    <w:rsid w:val="00CC18AC"/>
    <w:rsid w:val="00CD7D5D"/>
    <w:rsid w:val="00CF0621"/>
    <w:rsid w:val="00CF0FC4"/>
    <w:rsid w:val="00CF6932"/>
    <w:rsid w:val="00D01FE3"/>
    <w:rsid w:val="00D0381E"/>
    <w:rsid w:val="00D06CA3"/>
    <w:rsid w:val="00D07F46"/>
    <w:rsid w:val="00D170E5"/>
    <w:rsid w:val="00D27A56"/>
    <w:rsid w:val="00D37F2F"/>
    <w:rsid w:val="00D415B9"/>
    <w:rsid w:val="00D436D8"/>
    <w:rsid w:val="00D50C4A"/>
    <w:rsid w:val="00D528E8"/>
    <w:rsid w:val="00D60C5D"/>
    <w:rsid w:val="00D63397"/>
    <w:rsid w:val="00D65B5A"/>
    <w:rsid w:val="00D672A9"/>
    <w:rsid w:val="00D771D0"/>
    <w:rsid w:val="00D835CF"/>
    <w:rsid w:val="00D849D9"/>
    <w:rsid w:val="00D91986"/>
    <w:rsid w:val="00D9570C"/>
    <w:rsid w:val="00D9695B"/>
    <w:rsid w:val="00D96ECD"/>
    <w:rsid w:val="00DA176F"/>
    <w:rsid w:val="00DA26FB"/>
    <w:rsid w:val="00DA36BE"/>
    <w:rsid w:val="00DB6C3D"/>
    <w:rsid w:val="00DC5ACF"/>
    <w:rsid w:val="00DC698B"/>
    <w:rsid w:val="00DD3573"/>
    <w:rsid w:val="00DD48E0"/>
    <w:rsid w:val="00DD7468"/>
    <w:rsid w:val="00DE25E9"/>
    <w:rsid w:val="00DE34A2"/>
    <w:rsid w:val="00DE71D3"/>
    <w:rsid w:val="00DE72CF"/>
    <w:rsid w:val="00DF08A0"/>
    <w:rsid w:val="00E1166E"/>
    <w:rsid w:val="00E13BEF"/>
    <w:rsid w:val="00E31761"/>
    <w:rsid w:val="00E3552B"/>
    <w:rsid w:val="00E56488"/>
    <w:rsid w:val="00E5739E"/>
    <w:rsid w:val="00E702AD"/>
    <w:rsid w:val="00E70760"/>
    <w:rsid w:val="00E82282"/>
    <w:rsid w:val="00E832A7"/>
    <w:rsid w:val="00E9253C"/>
    <w:rsid w:val="00E94CE0"/>
    <w:rsid w:val="00EA0473"/>
    <w:rsid w:val="00EB2BC9"/>
    <w:rsid w:val="00EB3CF0"/>
    <w:rsid w:val="00EB45B5"/>
    <w:rsid w:val="00EB5E57"/>
    <w:rsid w:val="00EB61DB"/>
    <w:rsid w:val="00EC2244"/>
    <w:rsid w:val="00ED13BC"/>
    <w:rsid w:val="00ED1AD0"/>
    <w:rsid w:val="00ED2541"/>
    <w:rsid w:val="00ED4AFD"/>
    <w:rsid w:val="00ED6776"/>
    <w:rsid w:val="00EE0C9B"/>
    <w:rsid w:val="00EE4FBE"/>
    <w:rsid w:val="00EE7A5B"/>
    <w:rsid w:val="00EE7EF5"/>
    <w:rsid w:val="00EF01F5"/>
    <w:rsid w:val="00EF6931"/>
    <w:rsid w:val="00F038A1"/>
    <w:rsid w:val="00F06E4E"/>
    <w:rsid w:val="00F238E0"/>
    <w:rsid w:val="00F25E6E"/>
    <w:rsid w:val="00F3224B"/>
    <w:rsid w:val="00F34A12"/>
    <w:rsid w:val="00F42E1E"/>
    <w:rsid w:val="00F42E6D"/>
    <w:rsid w:val="00F47FFE"/>
    <w:rsid w:val="00F50DF3"/>
    <w:rsid w:val="00F51E01"/>
    <w:rsid w:val="00F526F7"/>
    <w:rsid w:val="00F5649A"/>
    <w:rsid w:val="00F6150B"/>
    <w:rsid w:val="00F63BD5"/>
    <w:rsid w:val="00F67DC5"/>
    <w:rsid w:val="00F758D9"/>
    <w:rsid w:val="00F767E9"/>
    <w:rsid w:val="00F8201F"/>
    <w:rsid w:val="00F82342"/>
    <w:rsid w:val="00F877DB"/>
    <w:rsid w:val="00F91AE4"/>
    <w:rsid w:val="00F93C8B"/>
    <w:rsid w:val="00F959DD"/>
    <w:rsid w:val="00F960D5"/>
    <w:rsid w:val="00FA6B71"/>
    <w:rsid w:val="00FB0C68"/>
    <w:rsid w:val="00FB1231"/>
    <w:rsid w:val="00FC1C5C"/>
    <w:rsid w:val="00FD0FE7"/>
    <w:rsid w:val="00FE000C"/>
    <w:rsid w:val="00FE17E2"/>
    <w:rsid w:val="00FE7052"/>
    <w:rsid w:val="00FF1D1B"/>
    <w:rsid w:val="00FF24CE"/>
    <w:rsid w:val="00FF6E4B"/>
    <w:rsid w:val="00FF6FA3"/>
    <w:rsid w:val="011E9BDB"/>
    <w:rsid w:val="014286E9"/>
    <w:rsid w:val="0172A373"/>
    <w:rsid w:val="0267DD5E"/>
    <w:rsid w:val="04B91C6D"/>
    <w:rsid w:val="04FB88ED"/>
    <w:rsid w:val="0615F80C"/>
    <w:rsid w:val="06CA1933"/>
    <w:rsid w:val="090E3185"/>
    <w:rsid w:val="09C2F432"/>
    <w:rsid w:val="0C8D2716"/>
    <w:rsid w:val="0CBDDCCD"/>
    <w:rsid w:val="0D0477EA"/>
    <w:rsid w:val="0F20619A"/>
    <w:rsid w:val="10F76B50"/>
    <w:rsid w:val="13210097"/>
    <w:rsid w:val="1635EF46"/>
    <w:rsid w:val="17B2A585"/>
    <w:rsid w:val="17CFD9BD"/>
    <w:rsid w:val="17F41994"/>
    <w:rsid w:val="1857F228"/>
    <w:rsid w:val="1A172107"/>
    <w:rsid w:val="1A66C7E9"/>
    <w:rsid w:val="1B86BD22"/>
    <w:rsid w:val="1DA32D18"/>
    <w:rsid w:val="207D29F9"/>
    <w:rsid w:val="212CDB55"/>
    <w:rsid w:val="224DF7B4"/>
    <w:rsid w:val="22AD2080"/>
    <w:rsid w:val="2393629E"/>
    <w:rsid w:val="23B6646C"/>
    <w:rsid w:val="23ED26FA"/>
    <w:rsid w:val="23F3BB66"/>
    <w:rsid w:val="2518B343"/>
    <w:rsid w:val="2697ADCA"/>
    <w:rsid w:val="2750D13B"/>
    <w:rsid w:val="2896C77B"/>
    <w:rsid w:val="2A3297DC"/>
    <w:rsid w:val="2AC50EA3"/>
    <w:rsid w:val="2B66904C"/>
    <w:rsid w:val="2CE08277"/>
    <w:rsid w:val="2D363C95"/>
    <w:rsid w:val="2D940940"/>
    <w:rsid w:val="30AB1CDD"/>
    <w:rsid w:val="3220A480"/>
    <w:rsid w:val="32677A63"/>
    <w:rsid w:val="32959AF1"/>
    <w:rsid w:val="342EE780"/>
    <w:rsid w:val="34589916"/>
    <w:rsid w:val="34F70DB7"/>
    <w:rsid w:val="353475EB"/>
    <w:rsid w:val="3684C39B"/>
    <w:rsid w:val="37BA2E29"/>
    <w:rsid w:val="38E74C94"/>
    <w:rsid w:val="39C7E8DE"/>
    <w:rsid w:val="3B37BDC0"/>
    <w:rsid w:val="3D0E8B22"/>
    <w:rsid w:val="3D6AC5C1"/>
    <w:rsid w:val="3E2B0344"/>
    <w:rsid w:val="3FD526D7"/>
    <w:rsid w:val="40893E26"/>
    <w:rsid w:val="40EBA13C"/>
    <w:rsid w:val="4162A406"/>
    <w:rsid w:val="41BC6862"/>
    <w:rsid w:val="42108D22"/>
    <w:rsid w:val="426082BD"/>
    <w:rsid w:val="4287719D"/>
    <w:rsid w:val="43752186"/>
    <w:rsid w:val="43801EC0"/>
    <w:rsid w:val="4800DDEE"/>
    <w:rsid w:val="499DF741"/>
    <w:rsid w:val="49CFD7D8"/>
    <w:rsid w:val="4A30206C"/>
    <w:rsid w:val="4B6F15A4"/>
    <w:rsid w:val="4BE28D4B"/>
    <w:rsid w:val="4C9F6948"/>
    <w:rsid w:val="51B593E1"/>
    <w:rsid w:val="5474B535"/>
    <w:rsid w:val="55DAD3D7"/>
    <w:rsid w:val="55F0C603"/>
    <w:rsid w:val="5673496D"/>
    <w:rsid w:val="576EF44A"/>
    <w:rsid w:val="5908CE47"/>
    <w:rsid w:val="5958F7D6"/>
    <w:rsid w:val="59612D5F"/>
    <w:rsid w:val="5A3C857F"/>
    <w:rsid w:val="5A8A4CC8"/>
    <w:rsid w:val="5C305E78"/>
    <w:rsid w:val="5CB6E87F"/>
    <w:rsid w:val="623C9E10"/>
    <w:rsid w:val="62B4219A"/>
    <w:rsid w:val="630BC6FA"/>
    <w:rsid w:val="650F15E1"/>
    <w:rsid w:val="67297AE8"/>
    <w:rsid w:val="6CA0D52D"/>
    <w:rsid w:val="6CDAC07D"/>
    <w:rsid w:val="6D0B8ECE"/>
    <w:rsid w:val="6EB1A07E"/>
    <w:rsid w:val="6F47448A"/>
    <w:rsid w:val="7228FDD2"/>
    <w:rsid w:val="734A0201"/>
    <w:rsid w:val="7437842E"/>
    <w:rsid w:val="7453F404"/>
    <w:rsid w:val="74E5D262"/>
    <w:rsid w:val="76B0744C"/>
    <w:rsid w:val="78DA0993"/>
    <w:rsid w:val="78DDB0A7"/>
    <w:rsid w:val="7C6F15C5"/>
    <w:rsid w:val="7C92D88E"/>
    <w:rsid w:val="7CF3BE41"/>
    <w:rsid w:val="7E4F32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6271BC5F-70F6-484A-91C2-7F2995A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unhideWhenUsed/>
    <w:rsid w:val="000D1AB5"/>
    <w:rPr>
      <w:sz w:val="20"/>
    </w:rPr>
  </w:style>
  <w:style w:type="character" w:customStyle="1" w:styleId="CommentTextChar">
    <w:name w:val="Comment Text Char"/>
    <w:basedOn w:val="DefaultParagraphFont"/>
    <w:link w:val="CommentText"/>
    <w:rsid w:val="000D1AB5"/>
    <w:rPr>
      <w:rFonts w:ascii="Arial" w:hAnsi="Arial"/>
      <w:lang w:eastAsia="en-US"/>
    </w:rPr>
  </w:style>
  <w:style w:type="character" w:styleId="CommentReference">
    <w:name w:val="annotation reference"/>
    <w:basedOn w:val="DefaultParagraphFont"/>
    <w:semiHidden/>
    <w:unhideWhenUsed/>
    <w:rsid w:val="000D1AB5"/>
    <w:rPr>
      <w:sz w:val="16"/>
      <w:szCs w:val="16"/>
    </w:rPr>
  </w:style>
  <w:style w:type="paragraph" w:styleId="CommentSubject">
    <w:name w:val="annotation subject"/>
    <w:basedOn w:val="CommentText"/>
    <w:next w:val="CommentText"/>
    <w:link w:val="CommentSubjectChar"/>
    <w:semiHidden/>
    <w:unhideWhenUsed/>
    <w:rsid w:val="002E183E"/>
    <w:rPr>
      <w:b/>
      <w:bCs/>
    </w:rPr>
  </w:style>
  <w:style w:type="character" w:customStyle="1" w:styleId="CommentSubjectChar">
    <w:name w:val="Comment Subject Char"/>
    <w:basedOn w:val="CommentTextChar"/>
    <w:link w:val="CommentSubject"/>
    <w:semiHidden/>
    <w:rsid w:val="002E183E"/>
    <w:rPr>
      <w:rFonts w:ascii="Arial" w:hAnsi="Arial"/>
      <w:b/>
      <w:bCs/>
      <w:lang w:eastAsia="en-US"/>
    </w:rPr>
  </w:style>
  <w:style w:type="paragraph" w:styleId="Revision">
    <w:name w:val="Revision"/>
    <w:hidden/>
    <w:uiPriority w:val="99"/>
    <w:semiHidden/>
    <w:rsid w:val="00FF24CE"/>
    <w:rPr>
      <w:rFonts w:ascii="Arial" w:hAnsi="Arial"/>
      <w:sz w:val="24"/>
      <w:lang w:eastAsia="en-US"/>
    </w:rPr>
  </w:style>
  <w:style w:type="character" w:customStyle="1" w:styleId="HeaderChar">
    <w:name w:val="Header Char"/>
    <w:basedOn w:val="DefaultParagraphFont"/>
    <w:link w:val="Header"/>
    <w:uiPriority w:val="99"/>
    <w:rsid w:val="00DE34A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13dba11-29e2-4cb5-b474-b4e6f7eefd91">
      <UserInfo>
        <DisplayName>Martin Trim</DisplayName>
        <AccountId>22</AccountId>
        <AccountType/>
      </UserInfo>
      <UserInfo>
        <DisplayName>Gareth Rees</DisplayName>
        <AccountId>29</AccountId>
        <AccountType/>
      </UserInfo>
      <UserInfo>
        <DisplayName>Kuljit Bisal</DisplayName>
        <AccountId>12</AccountId>
        <AccountType/>
      </UserInfo>
      <UserInfo>
        <DisplayName>Carmel McKenna</DisplayName>
        <AccountId>16</AccountId>
        <AccountType/>
      </UserInfo>
      <UserInfo>
        <DisplayName>Patrick O'Dwyer</DisplayName>
        <AccountId>34</AccountId>
        <AccountType/>
      </UserInfo>
      <UserInfo>
        <DisplayName>Jonathan Milbourn</DisplayName>
        <AccountId>35</AccountId>
        <AccountType/>
      </UserInfo>
      <UserInfo>
        <DisplayName>Neale Burns</DisplayName>
        <AccountId>36</AccountId>
        <AccountType/>
      </UserInfo>
      <UserInfo>
        <DisplayName>Jo Frost</DisplayName>
        <AccountId>25</AccountId>
        <AccountType/>
      </UserInfo>
      <UserInfo>
        <DisplayName>Alex Dewsnap</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71F6174F53547845AF89662E5807D" ma:contentTypeVersion="7" ma:contentTypeDescription="Create a new document." ma:contentTypeScope="" ma:versionID="5082268b92dc968b4684db11645996c0">
  <xsd:schema xmlns:xsd="http://www.w3.org/2001/XMLSchema" xmlns:xs="http://www.w3.org/2001/XMLSchema" xmlns:p="http://schemas.microsoft.com/office/2006/metadata/properties" xmlns:ns2="79577e95-9e84-4867-a3b0-eab1fa7e94e6" xmlns:ns3="f13dba11-29e2-4cb5-b474-b4e6f7eefd91" targetNamespace="http://schemas.microsoft.com/office/2006/metadata/properties" ma:root="true" ma:fieldsID="c60591fcabe99ff1a9206a6e8322ab48" ns2:_="" ns3:_="">
    <xsd:import namespace="79577e95-9e84-4867-a3b0-eab1fa7e94e6"/>
    <xsd:import namespace="f13dba11-29e2-4cb5-b474-b4e6f7eef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77e95-9e84-4867-a3b0-eab1fa7e9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a11-29e2-4cb5-b474-b4e6f7eef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f13dba11-29e2-4cb5-b474-b4e6f7eefd91"/>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221A54F4-B98A-4C59-B6AB-2F9C1B4E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77e95-9e84-4867-a3b0-eab1fa7e94e6"/>
    <ds:schemaRef ds:uri="f13dba11-29e2-4cb5-b474-b4e6f7eef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2143</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217</cp:revision>
  <cp:lastPrinted>2014-10-31T09:34:00Z</cp:lastPrinted>
  <dcterms:created xsi:type="dcterms:W3CDTF">2023-09-18T06:13:00Z</dcterms:created>
  <dcterms:modified xsi:type="dcterms:W3CDTF">2023-12-11T12:54:00Z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0x0101001D071F6174F53547845AF89662E5807D</vt:lpwstr>
  </property>
  <property fmtid="{D5CDD505-2E9C-101B-9397-08002B2CF9AE}" pid="3" name="TaxKeyword">
    <vt:lpwstr>108;#Cabinet Report Template|b79b58f4-03f4-47dd-bec7-7bae4bc4af23</vt:lpwstr>
  </property>
</Properties>
</file>